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CF" w:rsidRPr="00251CEE" w:rsidRDefault="00D60B57" w:rsidP="00C82971">
      <w:pPr>
        <w:pStyle w:val="OECD-HeadLine1"/>
        <w:rPr>
          <w:noProof w:val="0"/>
          <w:sz w:val="24"/>
          <w:szCs w:val="24"/>
          <w:lang w:val="en-US"/>
        </w:rPr>
      </w:pPr>
      <w:bookmarkStart w:id="0" w:name="_Toc211055934"/>
      <w:r w:rsidRPr="00251CEE">
        <w:rPr>
          <w:noProof w:val="0"/>
          <w:sz w:val="24"/>
          <w:szCs w:val="24"/>
          <w:lang w:val="en-US"/>
        </w:rPr>
        <w:t>B.7.8</w:t>
      </w:r>
      <w:r w:rsidR="00F736CF" w:rsidRPr="00251CEE">
        <w:rPr>
          <w:noProof w:val="0"/>
          <w:sz w:val="24"/>
          <w:szCs w:val="24"/>
          <w:lang w:val="en-US"/>
        </w:rPr>
        <w:t>.</w:t>
      </w:r>
      <w:r w:rsidR="006C7372" w:rsidRPr="00251CEE">
        <w:rPr>
          <w:noProof w:val="0"/>
          <w:sz w:val="24"/>
          <w:szCs w:val="24"/>
          <w:lang w:val="en-US"/>
        </w:rPr>
        <w:t>3</w:t>
      </w:r>
      <w:r w:rsidR="00F736CF" w:rsidRPr="00251CEE">
        <w:rPr>
          <w:noProof w:val="0"/>
          <w:sz w:val="24"/>
          <w:szCs w:val="24"/>
          <w:lang w:val="en-US"/>
        </w:rPr>
        <w:tab/>
      </w:r>
      <w:bookmarkEnd w:id="0"/>
      <w:r w:rsidR="00285814" w:rsidRPr="00251CEE">
        <w:rPr>
          <w:noProof w:val="0"/>
          <w:sz w:val="24"/>
          <w:szCs w:val="24"/>
          <w:lang w:val="en-US"/>
        </w:rPr>
        <w:t>Stability of Residues Prior to Analysis</w:t>
      </w:r>
    </w:p>
    <w:p w:rsidR="00F736CF" w:rsidRPr="00251CEE" w:rsidRDefault="00F736CF" w:rsidP="00C82971">
      <w:pPr>
        <w:widowControl w:val="0"/>
        <w:rPr>
          <w:szCs w:val="24"/>
        </w:rPr>
      </w:pPr>
    </w:p>
    <w:p w:rsidR="00F736CF" w:rsidRPr="00251CEE" w:rsidRDefault="00D60B57" w:rsidP="00C82971">
      <w:pPr>
        <w:widowControl w:val="0"/>
        <w:rPr>
          <w:b/>
          <w:szCs w:val="24"/>
        </w:rPr>
      </w:pPr>
      <w:r w:rsidRPr="00251CEE">
        <w:rPr>
          <w:b/>
          <w:szCs w:val="24"/>
        </w:rPr>
        <w:t>B.7.8</w:t>
      </w:r>
      <w:r w:rsidR="00F736CF" w:rsidRPr="00251CEE">
        <w:rPr>
          <w:b/>
          <w:szCs w:val="24"/>
        </w:rPr>
        <w:t>.</w:t>
      </w:r>
      <w:r w:rsidR="006C7372" w:rsidRPr="00251CEE">
        <w:rPr>
          <w:b/>
          <w:szCs w:val="24"/>
        </w:rPr>
        <w:t>3</w:t>
      </w:r>
      <w:r w:rsidR="00C82971">
        <w:rPr>
          <w:b/>
          <w:szCs w:val="24"/>
        </w:rPr>
        <w:tab/>
      </w:r>
      <w:r w:rsidR="00C82971">
        <w:rPr>
          <w:b/>
          <w:szCs w:val="24"/>
        </w:rPr>
        <w:tab/>
      </w:r>
      <w:r w:rsidR="00F736CF" w:rsidRPr="00251CEE">
        <w:rPr>
          <w:b/>
          <w:szCs w:val="24"/>
        </w:rPr>
        <w:t>[</w:t>
      </w:r>
      <w:r w:rsidRPr="00251CEE">
        <w:rPr>
          <w:b/>
          <w:szCs w:val="24"/>
        </w:rPr>
        <w:t>L</w:t>
      </w:r>
      <w:r w:rsidR="00882166" w:rsidRPr="00251CEE">
        <w:rPr>
          <w:b/>
          <w:szCs w:val="24"/>
        </w:rPr>
        <w:t>ivestock</w:t>
      </w:r>
      <w:r w:rsidRPr="00251CEE">
        <w:rPr>
          <w:b/>
          <w:szCs w:val="24"/>
        </w:rPr>
        <w:t xml:space="preserve"> C</w:t>
      </w:r>
      <w:r w:rsidR="00882166" w:rsidRPr="00251CEE">
        <w:rPr>
          <w:b/>
          <w:szCs w:val="24"/>
        </w:rPr>
        <w:t>ommodities</w:t>
      </w:r>
      <w:r w:rsidR="00F736CF" w:rsidRPr="00251CEE">
        <w:rPr>
          <w:b/>
          <w:szCs w:val="24"/>
        </w:rPr>
        <w:t>]</w:t>
      </w:r>
    </w:p>
    <w:p w:rsidR="009D1813" w:rsidRPr="00251CEE" w:rsidRDefault="009D1813" w:rsidP="00C82971">
      <w:pPr>
        <w:widowControl w:val="0"/>
        <w:rPr>
          <w:rFonts w:eastAsia="MS Mincho"/>
          <w:b/>
        </w:rPr>
      </w:pPr>
    </w:p>
    <w:p w:rsidR="009D1813" w:rsidRPr="00251CEE" w:rsidRDefault="001569AA" w:rsidP="00C82971">
      <w:pPr>
        <w:widowControl w:val="0"/>
        <w:ind w:left="1440" w:hanging="1440"/>
      </w:pPr>
      <w:r w:rsidRPr="00251CEE">
        <w:rPr>
          <w:rFonts w:eastAsia="MS Mincho"/>
          <w:b/>
        </w:rPr>
        <w:t>Document ID:</w:t>
      </w:r>
      <w:r w:rsidR="0057578B" w:rsidRPr="00251CEE">
        <w:rPr>
          <w:rFonts w:eastAsia="MS Mincho"/>
        </w:rPr>
        <w:tab/>
      </w:r>
      <w:r w:rsidR="009D1813" w:rsidRPr="00251CEE">
        <w:t xml:space="preserve">MRID No. </w:t>
      </w:r>
    </w:p>
    <w:p w:rsidR="001569AA" w:rsidRPr="00251CEE" w:rsidRDefault="009D1813" w:rsidP="00C82971">
      <w:pPr>
        <w:widowControl w:val="0"/>
        <w:ind w:left="1440" w:hanging="1440"/>
        <w:rPr>
          <w:rFonts w:eastAsia="MS Mincho"/>
        </w:rPr>
      </w:pPr>
      <w:r w:rsidRPr="00251CEE">
        <w:rPr>
          <w:b/>
        </w:rPr>
        <w:tab/>
      </w:r>
      <w:r w:rsidRPr="00251CEE">
        <w:rPr>
          <w:b/>
        </w:rPr>
        <w:tab/>
      </w:r>
      <w:r w:rsidRPr="00251CEE">
        <w:t>PMRA No.</w:t>
      </w:r>
    </w:p>
    <w:p w:rsidR="0057578B" w:rsidRPr="00251CEE" w:rsidRDefault="0057578B" w:rsidP="00C82971">
      <w:pPr>
        <w:pStyle w:val="NormalDossier"/>
        <w:widowControl w:val="0"/>
        <w:spacing w:before="0" w:after="0"/>
        <w:ind w:left="1440" w:hanging="1440"/>
        <w:rPr>
          <w:rFonts w:ascii="Times New Roman" w:hAnsi="Times New Roman"/>
          <w:sz w:val="24"/>
          <w:lang w:val="en-US"/>
        </w:rPr>
      </w:pPr>
      <w:r w:rsidRPr="00251CEE">
        <w:rPr>
          <w:rFonts w:ascii="Times New Roman" w:hAnsi="Times New Roman"/>
          <w:b/>
          <w:sz w:val="24"/>
          <w:lang w:val="en-US"/>
        </w:rPr>
        <w:t>Report:</w:t>
      </w:r>
      <w:r w:rsidRPr="00251CEE">
        <w:rPr>
          <w:rFonts w:ascii="Times New Roman" w:hAnsi="Times New Roman"/>
          <w:sz w:val="24"/>
          <w:lang w:val="en-US"/>
        </w:rPr>
        <w:tab/>
      </w:r>
      <w:r w:rsidRPr="00251CEE">
        <w:rPr>
          <w:rFonts w:ascii="Times New Roman" w:hAnsi="Times New Roman"/>
          <w:sz w:val="24"/>
          <w:lang w:val="en-US"/>
        </w:rPr>
        <w:tab/>
        <w:t>Report Citation</w:t>
      </w:r>
    </w:p>
    <w:p w:rsidR="0057578B" w:rsidRPr="00251CEE" w:rsidRDefault="0057578B" w:rsidP="00C82971">
      <w:pPr>
        <w:pStyle w:val="NormalDossier"/>
        <w:widowControl w:val="0"/>
        <w:spacing w:before="0" w:after="0"/>
        <w:ind w:left="2160" w:hanging="2160"/>
        <w:rPr>
          <w:rFonts w:ascii="Times New Roman" w:hAnsi="Times New Roman"/>
          <w:sz w:val="24"/>
          <w:lang w:val="en-US"/>
        </w:rPr>
      </w:pPr>
      <w:r w:rsidRPr="00251CEE">
        <w:rPr>
          <w:rFonts w:ascii="Times New Roman" w:hAnsi="Times New Roman"/>
          <w:b/>
          <w:sz w:val="24"/>
          <w:lang w:val="en-US"/>
        </w:rPr>
        <w:t>Guidelines:</w:t>
      </w:r>
      <w:r w:rsidRPr="00251CEE">
        <w:rPr>
          <w:rFonts w:ascii="Times New Roman" w:hAnsi="Times New Roman"/>
          <w:sz w:val="24"/>
          <w:lang w:val="en-US"/>
        </w:rPr>
        <w:tab/>
        <w:t>EPA OCSPP Harmonized Test Guideline 860.1</w:t>
      </w:r>
      <w:r w:rsidR="00285814" w:rsidRPr="00251CEE">
        <w:rPr>
          <w:rFonts w:ascii="Times New Roman" w:hAnsi="Times New Roman"/>
          <w:sz w:val="24"/>
          <w:lang w:val="en-US"/>
        </w:rPr>
        <w:t>38</w:t>
      </w:r>
      <w:r w:rsidRPr="00251CEE">
        <w:rPr>
          <w:rFonts w:ascii="Times New Roman" w:hAnsi="Times New Roman"/>
          <w:sz w:val="24"/>
          <w:lang w:val="en-US"/>
        </w:rPr>
        <w:t xml:space="preserve">0 </w:t>
      </w:r>
      <w:r w:rsidR="00285814" w:rsidRPr="00251CEE">
        <w:rPr>
          <w:rFonts w:ascii="Times New Roman" w:hAnsi="Times New Roman"/>
          <w:sz w:val="24"/>
          <w:lang w:val="en-US"/>
        </w:rPr>
        <w:t>Storage Stability Data</w:t>
      </w:r>
      <w:r w:rsidRPr="00251CEE">
        <w:rPr>
          <w:rFonts w:ascii="Times New Roman" w:hAnsi="Times New Roman"/>
          <w:sz w:val="24"/>
          <w:lang w:val="en-US"/>
        </w:rPr>
        <w:t xml:space="preserve"> (August 1996)</w:t>
      </w:r>
      <w:r w:rsidRPr="00251CEE">
        <w:rPr>
          <w:rFonts w:ascii="Times New Roman" w:hAnsi="Times New Roman"/>
          <w:sz w:val="24"/>
          <w:lang w:val="en-US"/>
        </w:rPr>
        <w:br/>
        <w:t xml:space="preserve">PMRA Regulatory Directive DIR98-02 – Residue Chemistry Guidelines, Section </w:t>
      </w:r>
      <w:r w:rsidR="008005CF" w:rsidRPr="00251CEE">
        <w:rPr>
          <w:rFonts w:ascii="Times New Roman" w:hAnsi="Times New Roman"/>
          <w:sz w:val="24"/>
          <w:lang w:val="en-US"/>
        </w:rPr>
        <w:t>5</w:t>
      </w:r>
      <w:r w:rsidRPr="00251CEE">
        <w:rPr>
          <w:rFonts w:ascii="Times New Roman" w:hAnsi="Times New Roman"/>
          <w:sz w:val="24"/>
          <w:lang w:val="en-US"/>
        </w:rPr>
        <w:t xml:space="preserve"> – </w:t>
      </w:r>
      <w:r w:rsidR="008005CF" w:rsidRPr="00251CEE">
        <w:rPr>
          <w:rFonts w:ascii="Times New Roman" w:hAnsi="Times New Roman"/>
          <w:sz w:val="24"/>
          <w:lang w:val="en-US"/>
        </w:rPr>
        <w:t>Storage Stability Data</w:t>
      </w:r>
      <w:r w:rsidRPr="00251CEE">
        <w:rPr>
          <w:rFonts w:ascii="Times New Roman" w:hAnsi="Times New Roman"/>
          <w:sz w:val="24"/>
          <w:lang w:val="en-US"/>
        </w:rPr>
        <w:t xml:space="preserve"> </w:t>
      </w:r>
      <w:r w:rsidRPr="00251CEE">
        <w:rPr>
          <w:rFonts w:ascii="Times New Roman" w:hAnsi="Times New Roman"/>
          <w:sz w:val="24"/>
          <w:lang w:val="en-US"/>
        </w:rPr>
        <w:br/>
        <w:t>OECD Guideline 50</w:t>
      </w:r>
      <w:r w:rsidR="008005CF" w:rsidRPr="00251CEE">
        <w:rPr>
          <w:rFonts w:ascii="Times New Roman" w:hAnsi="Times New Roman"/>
          <w:sz w:val="24"/>
          <w:lang w:val="en-US"/>
        </w:rPr>
        <w:t>6</w:t>
      </w:r>
      <w:r w:rsidR="007209B9" w:rsidRPr="00251CEE">
        <w:rPr>
          <w:rFonts w:ascii="Times New Roman" w:hAnsi="Times New Roman"/>
          <w:sz w:val="24"/>
          <w:lang w:val="en-US"/>
        </w:rPr>
        <w:t xml:space="preserve"> </w:t>
      </w:r>
      <w:r w:rsidR="008005CF" w:rsidRPr="00251CEE">
        <w:rPr>
          <w:rFonts w:ascii="Times New Roman" w:hAnsi="Times New Roman"/>
          <w:sz w:val="24"/>
          <w:lang w:val="en-US"/>
        </w:rPr>
        <w:t>Stability of Pesticide Residues in Stored Commodities</w:t>
      </w:r>
      <w:r w:rsidRPr="00251CEE">
        <w:rPr>
          <w:rFonts w:ascii="Times New Roman" w:hAnsi="Times New Roman"/>
          <w:sz w:val="24"/>
          <w:lang w:val="en-US"/>
        </w:rPr>
        <w:t xml:space="preserve"> (</w:t>
      </w:r>
      <w:r w:rsidR="008005CF" w:rsidRPr="00251CEE">
        <w:rPr>
          <w:rFonts w:ascii="Times New Roman" w:hAnsi="Times New Roman"/>
          <w:sz w:val="24"/>
          <w:lang w:val="en-US"/>
        </w:rPr>
        <w:t>October</w:t>
      </w:r>
      <w:r w:rsidRPr="00251CEE">
        <w:rPr>
          <w:rFonts w:ascii="Times New Roman" w:hAnsi="Times New Roman"/>
          <w:sz w:val="24"/>
          <w:lang w:val="en-US"/>
        </w:rPr>
        <w:t xml:space="preserve"> 200</w:t>
      </w:r>
      <w:r w:rsidR="008005CF" w:rsidRPr="00251CEE">
        <w:rPr>
          <w:rFonts w:ascii="Times New Roman" w:hAnsi="Times New Roman"/>
          <w:sz w:val="24"/>
          <w:lang w:val="en-US"/>
        </w:rPr>
        <w:t>7</w:t>
      </w:r>
      <w:r w:rsidRPr="00251CEE">
        <w:rPr>
          <w:rFonts w:ascii="Times New Roman" w:hAnsi="Times New Roman"/>
          <w:sz w:val="24"/>
          <w:lang w:val="en-US"/>
        </w:rPr>
        <w:t>)</w:t>
      </w:r>
    </w:p>
    <w:p w:rsidR="004271A8" w:rsidRPr="00251CEE" w:rsidRDefault="004271A8" w:rsidP="00C82971">
      <w:pPr>
        <w:widowControl w:val="0"/>
        <w:ind w:left="2160" w:hanging="2160"/>
      </w:pPr>
      <w:r w:rsidRPr="00251CEE">
        <w:rPr>
          <w:b/>
        </w:rPr>
        <w:t>GLP Compliance:</w:t>
      </w:r>
      <w:r w:rsidRPr="00251CEE">
        <w:rPr>
          <w:b/>
        </w:rPr>
        <w:tab/>
      </w:r>
      <w:r w:rsidRPr="00251CEE">
        <w:t>[No or Significant]</w:t>
      </w:r>
      <w:r w:rsidRPr="00251CEE">
        <w:rPr>
          <w:lang w:eastAsia="en-US"/>
        </w:rPr>
        <w:t xml:space="preserve"> </w:t>
      </w:r>
      <w:r w:rsidRPr="00251CEE">
        <w:t>deviations from regulatory requirements were reported which would have an impact on the validity of the study.  [If “Significant,” then explain below the deficiencies and their impact on the acceptability of the study]</w:t>
      </w:r>
    </w:p>
    <w:p w:rsidR="004271A8" w:rsidRPr="00251CEE" w:rsidRDefault="004271A8" w:rsidP="00C82971">
      <w:pPr>
        <w:pStyle w:val="NormalDossier"/>
        <w:widowControl w:val="0"/>
        <w:spacing w:before="0" w:after="0"/>
        <w:ind w:left="2160" w:hanging="2160"/>
        <w:rPr>
          <w:rFonts w:ascii="Times New Roman" w:hAnsi="Times New Roman"/>
          <w:sz w:val="24"/>
          <w:lang w:val="en-US"/>
        </w:rPr>
      </w:pPr>
      <w:r w:rsidRPr="00251CEE">
        <w:rPr>
          <w:rFonts w:ascii="Times New Roman" w:hAnsi="Times New Roman"/>
          <w:b/>
          <w:sz w:val="24"/>
          <w:lang w:val="en-US"/>
        </w:rPr>
        <w:t>Acceptability:</w:t>
      </w:r>
      <w:r w:rsidRPr="00251CEE">
        <w:rPr>
          <w:rFonts w:ascii="Times New Roman" w:hAnsi="Times New Roman"/>
          <w:b/>
          <w:sz w:val="24"/>
          <w:lang w:val="en-US"/>
        </w:rPr>
        <w:tab/>
      </w:r>
      <w:r w:rsidRPr="00251CEE">
        <w:rPr>
          <w:rFonts w:ascii="Times New Roman" w:hAnsi="Times New Roman"/>
          <w:sz w:val="24"/>
          <w:lang w:val="en-US"/>
        </w:rPr>
        <w:t>The study [is/is not] considered scientifically acceptable.  [If not acceptable, then explain why below]</w:t>
      </w:r>
    </w:p>
    <w:p w:rsidR="004271A8" w:rsidRPr="00251CEE" w:rsidRDefault="004271A8" w:rsidP="00C82971">
      <w:pPr>
        <w:widowControl w:val="0"/>
        <w:tabs>
          <w:tab w:val="left" w:pos="2160"/>
        </w:tabs>
        <w:ind w:left="1440" w:hanging="1440"/>
      </w:pPr>
      <w:r w:rsidRPr="00251CEE">
        <w:rPr>
          <w:b/>
        </w:rPr>
        <w:t>Evaluator:</w:t>
      </w:r>
      <w:r w:rsidRPr="00251CEE">
        <w:t xml:space="preserve"> </w:t>
      </w:r>
      <w:r w:rsidRPr="00251CEE">
        <w:tab/>
      </w:r>
      <w:r w:rsidRPr="00251CEE">
        <w:tab/>
        <w:t>[Name of regulatory person who reviewed the study]</w:t>
      </w:r>
    </w:p>
    <w:p w:rsidR="0057578B" w:rsidRPr="00251CEE" w:rsidRDefault="0057578B" w:rsidP="00C82971">
      <w:pPr>
        <w:widowControl w:val="0"/>
      </w:pPr>
    </w:p>
    <w:p w:rsidR="00CE48F4" w:rsidRPr="00251CEE" w:rsidRDefault="00CE48F4" w:rsidP="00C82971">
      <w:pPr>
        <w:widowControl w:val="0"/>
        <w:rPr>
          <w:b/>
          <w:u w:val="single"/>
        </w:rPr>
      </w:pPr>
    </w:p>
    <w:p w:rsidR="00812679" w:rsidRPr="00251CEE" w:rsidRDefault="00812679" w:rsidP="00C82971">
      <w:pPr>
        <w:widowControl w:val="0"/>
      </w:pPr>
      <w:r w:rsidRPr="00251CEE">
        <w:rPr>
          <w:b/>
        </w:rPr>
        <w:t>EXECUTIVE SUMMARY</w:t>
      </w:r>
    </w:p>
    <w:p w:rsidR="00F2591C" w:rsidRPr="00251CEE" w:rsidRDefault="00F2591C" w:rsidP="00C82971">
      <w:pPr>
        <w:widowControl w:val="0"/>
      </w:pPr>
    </w:p>
    <w:p w:rsidR="00B82175" w:rsidRPr="00251CEE" w:rsidRDefault="00F2591C" w:rsidP="00C82971">
      <w:pPr>
        <w:widowControl w:val="0"/>
      </w:pPr>
      <w:r w:rsidRPr="00251CEE">
        <w:t>Samples of [</w:t>
      </w:r>
      <w:r w:rsidR="0004435A" w:rsidRPr="00251CEE">
        <w:t xml:space="preserve">livestock </w:t>
      </w:r>
      <w:r w:rsidR="009D5E7F" w:rsidRPr="00251CEE">
        <w:t>m</w:t>
      </w:r>
      <w:r w:rsidRPr="00251CEE">
        <w:t xml:space="preserve">atrix] </w:t>
      </w:r>
      <w:r w:rsidR="00B42DEE" w:rsidRPr="00251CEE">
        <w:t>were</w:t>
      </w:r>
      <w:r w:rsidR="006C5595" w:rsidRPr="00251CEE">
        <w:t xml:space="preserve"> fortified</w:t>
      </w:r>
      <w:r w:rsidR="00B42DEE" w:rsidRPr="00251CEE">
        <w:t xml:space="preserve"> </w:t>
      </w:r>
      <w:r w:rsidRPr="00251CEE">
        <w:t xml:space="preserve">with </w:t>
      </w:r>
      <w:r w:rsidR="00B82175" w:rsidRPr="00251CEE">
        <w:t>[analytes]</w:t>
      </w:r>
      <w:r w:rsidRPr="00251CEE">
        <w:t xml:space="preserve"> at a level of [</w:t>
      </w:r>
      <w:r w:rsidR="003B6932" w:rsidRPr="00251CEE">
        <w:t>fortification</w:t>
      </w:r>
      <w:r w:rsidRPr="00251CEE">
        <w:t xml:space="preserve"> level] </w:t>
      </w:r>
      <w:r w:rsidR="00B42DEE" w:rsidRPr="00251CEE">
        <w:t>and put into</w:t>
      </w:r>
      <w:r w:rsidRPr="00251CEE">
        <w:t xml:space="preserve"> stor</w:t>
      </w:r>
      <w:r w:rsidR="00B42DEE" w:rsidRPr="00251CEE">
        <w:t>age</w:t>
      </w:r>
      <w:r w:rsidRPr="00251CEE">
        <w:t xml:space="preserve"> at [temperature]</w:t>
      </w:r>
      <w:r w:rsidR="00B42DEE" w:rsidRPr="00251CEE">
        <w:t xml:space="preserve">.  At intervals of [xx, yy, and zz] months, stored samples and freshly fortified samples were analyzed for residues of [list analytes].  </w:t>
      </w:r>
    </w:p>
    <w:p w:rsidR="00B82175" w:rsidRPr="00251CEE" w:rsidRDefault="00B82175" w:rsidP="00C82971">
      <w:pPr>
        <w:widowControl w:val="0"/>
      </w:pPr>
    </w:p>
    <w:p w:rsidR="00F2591C" w:rsidRPr="00251CEE" w:rsidRDefault="00B82175" w:rsidP="00C82971">
      <w:pPr>
        <w:widowControl w:val="0"/>
      </w:pPr>
      <w:r w:rsidRPr="00251CEE">
        <w:t xml:space="preserve">At each storage interval, [analytes] were determined using </w:t>
      </w:r>
      <w:r w:rsidR="00227979" w:rsidRPr="00251CEE">
        <w:t>M</w:t>
      </w:r>
      <w:r w:rsidRPr="00251CEE">
        <w:t>ethod [</w:t>
      </w:r>
      <w:r w:rsidR="00D60B57" w:rsidRPr="00251CEE">
        <w:t xml:space="preserve">Method </w:t>
      </w:r>
      <w:r w:rsidRPr="00251CEE">
        <w:t>ID]</w:t>
      </w:r>
      <w:r w:rsidR="00A40181" w:rsidRPr="00251CEE">
        <w:t>, a [describe method]</w:t>
      </w:r>
      <w:r w:rsidR="00D60B57" w:rsidRPr="00251CEE">
        <w:t xml:space="preserve"> to determine residues of [list analytes]</w:t>
      </w:r>
      <w:r w:rsidR="00A40181" w:rsidRPr="00251CEE">
        <w:t xml:space="preserve">.  Acceptable </w:t>
      </w:r>
      <w:r w:rsidR="00227979" w:rsidRPr="00251CEE">
        <w:t>[</w:t>
      </w:r>
      <w:r w:rsidR="00A40181" w:rsidRPr="00251CEE">
        <w:t>method validation and</w:t>
      </w:r>
      <w:r w:rsidR="00227979" w:rsidRPr="00251CEE">
        <w:t>]</w:t>
      </w:r>
      <w:r w:rsidR="00A40181" w:rsidRPr="00251CEE">
        <w:t xml:space="preserve"> concurrent recoveries were reported for [</w:t>
      </w:r>
      <w:r w:rsidR="00A74EB8" w:rsidRPr="00251CEE">
        <w:t xml:space="preserve">livestock </w:t>
      </w:r>
      <w:r w:rsidR="00A40181" w:rsidRPr="00251CEE">
        <w:t xml:space="preserve">matrices] samples at </w:t>
      </w:r>
      <w:r w:rsidR="00227979" w:rsidRPr="00251CEE">
        <w:t xml:space="preserve">fortification </w:t>
      </w:r>
      <w:r w:rsidR="00A40181" w:rsidRPr="00251CEE">
        <w:t>levels of [xx] mg/kg (ppm), thus validating the method.  The limit of quantitation (LOQ) was [xx] ppm per analyte for [</w:t>
      </w:r>
      <w:r w:rsidR="0004435A" w:rsidRPr="00251CEE">
        <w:t xml:space="preserve">livestock </w:t>
      </w:r>
      <w:r w:rsidR="00A40181" w:rsidRPr="00251CEE">
        <w:t>matrices].</w:t>
      </w:r>
    </w:p>
    <w:p w:rsidR="000A40AC" w:rsidRPr="00251CEE" w:rsidRDefault="000A40AC" w:rsidP="00C82971">
      <w:pPr>
        <w:widowControl w:val="0"/>
      </w:pPr>
    </w:p>
    <w:p w:rsidR="00F2591C" w:rsidRPr="00251CEE" w:rsidRDefault="00F2591C" w:rsidP="00C82971">
      <w:pPr>
        <w:widowControl w:val="0"/>
      </w:pPr>
      <w:r w:rsidRPr="00251CEE">
        <w:t>Under these conditions, residues of [</w:t>
      </w:r>
      <w:r w:rsidR="00EB2E0A" w:rsidRPr="00251CEE">
        <w:t xml:space="preserve">active ingredient </w:t>
      </w:r>
      <w:r w:rsidRPr="00251CEE">
        <w:t>and metabolites</w:t>
      </w:r>
      <w:r w:rsidR="00EB2E0A" w:rsidRPr="00251CEE">
        <w:t xml:space="preserve"> (if applicable)</w:t>
      </w:r>
      <w:r w:rsidRPr="00251CEE">
        <w:t xml:space="preserve">] </w:t>
      </w:r>
      <w:r w:rsidR="00B82175" w:rsidRPr="00251CEE">
        <w:t>were</w:t>
      </w:r>
      <w:r w:rsidR="00A74EB8" w:rsidRPr="00251CEE">
        <w:t xml:space="preserve"> stable </w:t>
      </w:r>
      <w:r w:rsidR="00A073F6">
        <w:t>{</w:t>
      </w:r>
      <w:r w:rsidR="00A74EB8" w:rsidRPr="00251CEE">
        <w:t>or [decreased/</w:t>
      </w:r>
      <w:r w:rsidRPr="00251CEE">
        <w:t>increased] by [percentage]</w:t>
      </w:r>
      <w:r w:rsidR="00A073F6">
        <w:t>}</w:t>
      </w:r>
      <w:r w:rsidRPr="00251CEE">
        <w:t xml:space="preserve"> in [</w:t>
      </w:r>
      <w:r w:rsidR="0004435A" w:rsidRPr="00251CEE">
        <w:t xml:space="preserve">livestock </w:t>
      </w:r>
      <w:r w:rsidRPr="00251CEE">
        <w:t>matrix]</w:t>
      </w:r>
      <w:r w:rsidR="00B42DEE" w:rsidRPr="00251CEE">
        <w:t xml:space="preserve"> for [duration of time].</w:t>
      </w:r>
    </w:p>
    <w:p w:rsidR="004271A8" w:rsidRPr="00251CEE" w:rsidRDefault="004271A8" w:rsidP="00C82971">
      <w:pPr>
        <w:widowControl w:val="0"/>
      </w:pPr>
    </w:p>
    <w:p w:rsidR="004271A8" w:rsidRPr="00251CEE" w:rsidRDefault="004271A8" w:rsidP="00C82971">
      <w:pPr>
        <w:pStyle w:val="NoSpacing"/>
        <w:widowControl w:val="0"/>
        <w:rPr>
          <w:rFonts w:cs="Times New Roman"/>
          <w:sz w:val="24"/>
          <w:szCs w:val="24"/>
          <w:lang w:val="en-US"/>
        </w:rPr>
      </w:pPr>
      <w:r w:rsidRPr="00251CEE">
        <w:rPr>
          <w:rFonts w:cs="Times New Roman"/>
          <w:sz w:val="24"/>
          <w:szCs w:val="24"/>
          <w:lang w:val="en-US"/>
        </w:rPr>
        <w:t>[Include this section only if the "GLP Compliance" prompt above is answered "Significant deviations from regulatory requirements were reported."]</w:t>
      </w:r>
    </w:p>
    <w:p w:rsidR="004271A8" w:rsidRPr="00251CEE" w:rsidRDefault="004271A8" w:rsidP="00C82971">
      <w:pPr>
        <w:pStyle w:val="NoSpacing"/>
        <w:widowControl w:val="0"/>
        <w:rPr>
          <w:rFonts w:cs="Times New Roman"/>
          <w:sz w:val="24"/>
          <w:szCs w:val="24"/>
          <w:lang w:val="en-US"/>
        </w:rPr>
      </w:pPr>
      <w:r w:rsidRPr="00251CEE">
        <w:rPr>
          <w:rFonts w:cs="Times New Roman"/>
          <w:b/>
          <w:sz w:val="24"/>
          <w:szCs w:val="24"/>
          <w:u w:val="single"/>
          <w:lang w:val="en-US"/>
        </w:rPr>
        <w:t>COMPLIANCE</w:t>
      </w:r>
    </w:p>
    <w:p w:rsidR="004271A8" w:rsidRPr="00251CEE" w:rsidRDefault="004271A8" w:rsidP="00C82971">
      <w:pPr>
        <w:pStyle w:val="NoSpacing"/>
        <w:widowControl w:val="0"/>
        <w:rPr>
          <w:rFonts w:cs="Times New Roman"/>
          <w:sz w:val="24"/>
          <w:szCs w:val="24"/>
          <w:lang w:val="en-US"/>
        </w:rPr>
      </w:pPr>
    </w:p>
    <w:p w:rsidR="004271A8" w:rsidRPr="00251CEE" w:rsidRDefault="004271A8" w:rsidP="00C82971">
      <w:pPr>
        <w:pStyle w:val="NoSpacing"/>
        <w:widowControl w:val="0"/>
        <w:rPr>
          <w:rFonts w:cs="Times New Roman"/>
          <w:sz w:val="24"/>
          <w:szCs w:val="24"/>
          <w:lang w:val="en-US"/>
        </w:rPr>
      </w:pPr>
      <w:r w:rsidRPr="00251CEE">
        <w:rPr>
          <w:rFonts w:cs="Times New Roman"/>
          <w:sz w:val="24"/>
          <w:szCs w:val="24"/>
          <w:lang w:val="en-US"/>
        </w:rPr>
        <w:t xml:space="preserve">The following </w:t>
      </w:r>
      <w:r w:rsidR="00F81E92" w:rsidRPr="00251CEE">
        <w:rPr>
          <w:rFonts w:cs="Times New Roman"/>
          <w:sz w:val="24"/>
          <w:szCs w:val="24"/>
          <w:lang w:val="en-US"/>
        </w:rPr>
        <w:fldChar w:fldCharType="begin"/>
      </w:r>
      <w:r w:rsidRPr="00251CEE">
        <w:rPr>
          <w:rFonts w:cs="Times New Roman"/>
          <w:sz w:val="24"/>
          <w:szCs w:val="24"/>
          <w:lang w:val="en-US"/>
        </w:rPr>
        <w:instrText xml:space="preserve"> SEQ CHAPTER \h \r 1</w:instrText>
      </w:r>
      <w:r w:rsidR="00F81E92" w:rsidRPr="00251CEE">
        <w:rPr>
          <w:rFonts w:cs="Times New Roman"/>
          <w:sz w:val="24"/>
          <w:szCs w:val="24"/>
          <w:lang w:val="en-US"/>
        </w:rPr>
        <w:fldChar w:fldCharType="end"/>
      </w:r>
      <w:r w:rsidRPr="00251CEE">
        <w:rPr>
          <w:rFonts w:cs="Times New Roman"/>
          <w:sz w:val="24"/>
          <w:szCs w:val="24"/>
          <w:lang w:val="en-US"/>
        </w:rPr>
        <w:t xml:space="preserve">deviations from GLP requirements were reported:  [list].  </w:t>
      </w:r>
    </w:p>
    <w:p w:rsidR="004271A8" w:rsidRPr="00251CEE" w:rsidRDefault="004271A8" w:rsidP="00C82971">
      <w:pPr>
        <w:widowControl w:val="0"/>
        <w:rPr>
          <w:szCs w:val="24"/>
        </w:rPr>
      </w:pPr>
    </w:p>
    <w:p w:rsidR="004271A8" w:rsidRPr="00251CEE" w:rsidRDefault="004271A8" w:rsidP="00C82971">
      <w:pPr>
        <w:pStyle w:val="NoSpacing"/>
        <w:widowControl w:val="0"/>
        <w:rPr>
          <w:rFonts w:cs="Times New Roman"/>
          <w:sz w:val="24"/>
          <w:szCs w:val="24"/>
          <w:lang w:val="en-US"/>
        </w:rPr>
      </w:pPr>
      <w:r w:rsidRPr="00251CEE">
        <w:rPr>
          <w:rFonts w:cs="Times New Roman"/>
          <w:sz w:val="24"/>
          <w:szCs w:val="24"/>
          <w:lang w:val="en-US"/>
        </w:rPr>
        <w:t>[Include this section only if the "Acceptability" prompt above is answered "The study is not considered scientifically acceptable."]</w:t>
      </w:r>
    </w:p>
    <w:p w:rsidR="004271A8" w:rsidRPr="00251CEE" w:rsidRDefault="004271A8" w:rsidP="00C82971">
      <w:pPr>
        <w:pStyle w:val="NoSpacing"/>
        <w:widowControl w:val="0"/>
        <w:rPr>
          <w:rFonts w:cs="Times New Roman"/>
          <w:sz w:val="24"/>
          <w:szCs w:val="24"/>
          <w:lang w:val="en-US"/>
        </w:rPr>
      </w:pPr>
      <w:r w:rsidRPr="00251CEE">
        <w:rPr>
          <w:rFonts w:cs="Times New Roman"/>
          <w:b/>
          <w:sz w:val="24"/>
          <w:szCs w:val="24"/>
          <w:u w:val="single"/>
          <w:lang w:val="en-US"/>
        </w:rPr>
        <w:t>STUDY DEFICIENCIES</w:t>
      </w:r>
    </w:p>
    <w:p w:rsidR="004271A8" w:rsidRPr="00251CEE" w:rsidRDefault="004271A8" w:rsidP="00C82971">
      <w:pPr>
        <w:pStyle w:val="NoSpacing"/>
        <w:widowControl w:val="0"/>
        <w:rPr>
          <w:rFonts w:cs="Times New Roman"/>
          <w:sz w:val="24"/>
          <w:szCs w:val="24"/>
          <w:lang w:val="en-US"/>
        </w:rPr>
      </w:pPr>
    </w:p>
    <w:p w:rsidR="004271A8" w:rsidRPr="00251CEE" w:rsidRDefault="004271A8" w:rsidP="00C82971">
      <w:pPr>
        <w:pStyle w:val="NoSpacing"/>
        <w:widowControl w:val="0"/>
        <w:rPr>
          <w:rFonts w:cs="Times New Roman"/>
          <w:sz w:val="24"/>
          <w:szCs w:val="24"/>
          <w:lang w:val="en-US"/>
        </w:rPr>
      </w:pPr>
      <w:r w:rsidRPr="00251CEE">
        <w:rPr>
          <w:rFonts w:cs="Times New Roman"/>
          <w:sz w:val="24"/>
          <w:szCs w:val="24"/>
          <w:lang w:val="en-US"/>
        </w:rPr>
        <w:t>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the additional data required.</w:t>
      </w:r>
    </w:p>
    <w:p w:rsidR="00CE48F4" w:rsidRPr="00251CEE" w:rsidRDefault="00CE48F4" w:rsidP="00C82971">
      <w:pPr>
        <w:widowControl w:val="0"/>
        <w:ind w:left="720" w:hanging="720"/>
        <w:rPr>
          <w:b/>
        </w:rPr>
      </w:pPr>
    </w:p>
    <w:p w:rsidR="003B6932" w:rsidRPr="00251CEE" w:rsidRDefault="003B6932" w:rsidP="00C82971">
      <w:pPr>
        <w:widowControl w:val="0"/>
        <w:rPr>
          <w:b/>
        </w:rPr>
      </w:pPr>
    </w:p>
    <w:p w:rsidR="0057578B" w:rsidRPr="00251CEE" w:rsidRDefault="0057578B" w:rsidP="00C82971">
      <w:pPr>
        <w:widowControl w:val="0"/>
        <w:rPr>
          <w:b/>
        </w:rPr>
      </w:pPr>
      <w:r w:rsidRPr="00251CEE">
        <w:rPr>
          <w:b/>
        </w:rPr>
        <w:t xml:space="preserve">I.  </w:t>
      </w:r>
      <w:r w:rsidRPr="00251CEE">
        <w:rPr>
          <w:b/>
          <w:caps/>
        </w:rPr>
        <w:t>Materials and Methods</w:t>
      </w:r>
    </w:p>
    <w:p w:rsidR="0057578B" w:rsidRPr="00251CEE" w:rsidRDefault="0057578B" w:rsidP="00C82971">
      <w:pPr>
        <w:widowControl w:val="0"/>
      </w:pPr>
    </w:p>
    <w:p w:rsidR="0057578B" w:rsidRPr="00251CEE" w:rsidRDefault="0057578B" w:rsidP="00C82971">
      <w:pPr>
        <w:widowControl w:val="0"/>
        <w:ind w:left="284" w:hanging="284"/>
        <w:rPr>
          <w:b/>
        </w:rPr>
      </w:pPr>
      <w:r w:rsidRPr="00251CEE">
        <w:rPr>
          <w:b/>
        </w:rPr>
        <w:t>A.</w:t>
      </w:r>
      <w:r w:rsidR="003B6932" w:rsidRPr="00251CEE">
        <w:rPr>
          <w:b/>
        </w:rPr>
        <w:t xml:space="preserve">  </w:t>
      </w:r>
      <w:r w:rsidRPr="00251CEE">
        <w:rPr>
          <w:b/>
          <w:caps/>
        </w:rPr>
        <w:t>Materials</w:t>
      </w:r>
    </w:p>
    <w:p w:rsidR="0057578B" w:rsidRPr="00251CEE" w:rsidRDefault="0057578B" w:rsidP="00C82971">
      <w:pPr>
        <w:widowControl w:val="0"/>
      </w:pPr>
    </w:p>
    <w:p w:rsidR="0057578B" w:rsidRPr="00251CEE" w:rsidRDefault="0057578B" w:rsidP="00C82971">
      <w:pPr>
        <w:widowControl w:val="0"/>
        <w:tabs>
          <w:tab w:val="left" w:pos="709"/>
        </w:tabs>
        <w:ind w:left="2835" w:hanging="2745"/>
        <w:rPr>
          <w:b/>
        </w:rPr>
      </w:pPr>
      <w:r w:rsidRPr="00251CEE">
        <w:rPr>
          <w:b/>
        </w:rPr>
        <w:t>1.</w:t>
      </w:r>
      <w:r w:rsidR="003B6932" w:rsidRPr="00251CEE">
        <w:rPr>
          <w:b/>
        </w:rPr>
        <w:t xml:space="preserve">  </w:t>
      </w:r>
      <w:r w:rsidRPr="00251CEE">
        <w:rPr>
          <w:b/>
        </w:rPr>
        <w:t>Test Material</w:t>
      </w:r>
    </w:p>
    <w:p w:rsidR="000450BB" w:rsidRPr="001E6F6E" w:rsidRDefault="000450BB" w:rsidP="000450BB">
      <w:pPr>
        <w:widowControl w:val="0"/>
        <w:ind w:left="720" w:hanging="720"/>
        <w:rPr>
          <w:rFonts w:eastAsiaTheme="minorHAnsi"/>
          <w:b/>
          <w:szCs w:val="24"/>
          <w:lang w:eastAsia="en-US"/>
        </w:rPr>
      </w:pPr>
    </w:p>
    <w:tbl>
      <w:tblPr>
        <w:tblStyle w:val="TableGrid"/>
        <w:tblW w:w="0" w:type="auto"/>
        <w:tblLook w:val="04A0" w:firstRow="1" w:lastRow="0" w:firstColumn="1" w:lastColumn="0" w:noHBand="0" w:noVBand="1"/>
      </w:tblPr>
      <w:tblGrid>
        <w:gridCol w:w="4788"/>
        <w:gridCol w:w="4788"/>
      </w:tblGrid>
      <w:tr w:rsidR="000450BB" w:rsidRPr="00A41891" w:rsidTr="00536044">
        <w:tc>
          <w:tcPr>
            <w:tcW w:w="9576" w:type="dxa"/>
            <w:gridSpan w:val="2"/>
          </w:tcPr>
          <w:p w:rsidR="000450BB" w:rsidRPr="00A41891" w:rsidRDefault="000450BB" w:rsidP="00536044">
            <w:pPr>
              <w:widowControl w:val="0"/>
              <w:rPr>
                <w:rFonts w:ascii="Times New Roman" w:hAnsi="Times New Roman" w:cs="Times New Roman"/>
                <w:sz w:val="20"/>
                <w:szCs w:val="20"/>
              </w:rPr>
            </w:pPr>
            <w:r w:rsidRPr="00A41891">
              <w:rPr>
                <w:rFonts w:ascii="Times New Roman" w:hAnsi="Times New Roman" w:cs="Times New Roman"/>
                <w:b/>
                <w:sz w:val="20"/>
                <w:szCs w:val="20"/>
              </w:rPr>
              <w:t xml:space="preserve">Table </w:t>
            </w:r>
            <w:r w:rsidRPr="000450BB">
              <w:rPr>
                <w:rFonts w:ascii="Times New Roman" w:hAnsi="Times New Roman" w:cs="Times New Roman"/>
                <w:b/>
                <w:sz w:val="20"/>
                <w:szCs w:val="20"/>
              </w:rPr>
              <w:t>B.7.8.3</w:t>
            </w:r>
            <w:r w:rsidRPr="00A41891">
              <w:rPr>
                <w:rFonts w:ascii="Times New Roman" w:hAnsi="Times New Roman" w:cs="Times New Roman"/>
                <w:b/>
                <w:sz w:val="20"/>
                <w:szCs w:val="20"/>
              </w:rPr>
              <w:t xml:space="preserve">-1.  </w:t>
            </w:r>
            <w:r w:rsidRPr="00A41891">
              <w:rPr>
                <w:rFonts w:ascii="Times New Roman" w:hAnsi="Times New Roman" w:cs="Times New Roman"/>
                <w:b/>
                <w:bCs/>
                <w:sz w:val="20"/>
                <w:szCs w:val="20"/>
              </w:rPr>
              <w:t>Nomenclature for [Active Ingredient] and Metabolites of Interest</w:t>
            </w:r>
            <w:r w:rsidRPr="00A41891">
              <w:rPr>
                <w:rFonts w:ascii="Times New Roman" w:hAnsi="Times New Roman" w:cs="Times New Roman"/>
                <w:b/>
                <w:sz w:val="20"/>
                <w:szCs w:val="20"/>
              </w:rPr>
              <w:t>.</w:t>
            </w:r>
          </w:p>
        </w:tc>
      </w:tr>
      <w:tr w:rsidR="000450BB" w:rsidRPr="00A41891" w:rsidTr="00536044">
        <w:tc>
          <w:tcPr>
            <w:tcW w:w="4788" w:type="dxa"/>
          </w:tcPr>
          <w:p w:rsidR="000450BB" w:rsidRPr="00A41891" w:rsidRDefault="000450BB" w:rsidP="00536044">
            <w:pPr>
              <w:widowControl w:val="0"/>
              <w:rPr>
                <w:rFonts w:ascii="Times New Roman" w:hAnsi="Times New Roman" w:cs="Times New Roman"/>
                <w:b/>
                <w:sz w:val="18"/>
                <w:szCs w:val="18"/>
              </w:rPr>
            </w:pPr>
            <w:r w:rsidRPr="00A41891">
              <w:rPr>
                <w:rFonts w:ascii="Times New Roman" w:hAnsi="Times New Roman" w:cs="Times New Roman"/>
                <w:b/>
                <w:sz w:val="18"/>
                <w:szCs w:val="18"/>
              </w:rPr>
              <w:t>Common name</w:t>
            </w:r>
          </w:p>
        </w:tc>
        <w:tc>
          <w:tcPr>
            <w:tcW w:w="4788" w:type="dxa"/>
          </w:tcPr>
          <w:p w:rsidR="000450BB" w:rsidRPr="00A41891" w:rsidRDefault="000450BB" w:rsidP="009A20F4">
            <w:pPr>
              <w:widowControl w:val="0"/>
              <w:rPr>
                <w:rFonts w:ascii="Times New Roman" w:hAnsi="Times New Roman" w:cs="Times New Roman"/>
                <w:sz w:val="18"/>
                <w:szCs w:val="18"/>
              </w:rPr>
            </w:pPr>
            <w:r w:rsidRPr="00A41891">
              <w:rPr>
                <w:rFonts w:ascii="Times New Roman" w:hAnsi="Times New Roman" w:cs="Times New Roman"/>
                <w:sz w:val="18"/>
                <w:szCs w:val="18"/>
              </w:rPr>
              <w:t>(</w:t>
            </w:r>
            <w:r w:rsidR="009A20F4">
              <w:rPr>
                <w:rFonts w:ascii="Times New Roman" w:hAnsi="Times New Roman" w:cs="Times New Roman"/>
                <w:sz w:val="18"/>
                <w:szCs w:val="18"/>
              </w:rPr>
              <w:t>active ingredient</w:t>
            </w:r>
            <w:r w:rsidRPr="00A41891">
              <w:rPr>
                <w:rFonts w:ascii="Times New Roman" w:hAnsi="Times New Roman" w:cs="Times New Roman"/>
                <w:sz w:val="18"/>
                <w:szCs w:val="18"/>
              </w:rPr>
              <w:t>)</w:t>
            </w:r>
          </w:p>
        </w:tc>
      </w:tr>
      <w:tr w:rsidR="000450BB" w:rsidRPr="00A41891" w:rsidTr="00536044">
        <w:trPr>
          <w:trHeight w:hRule="exact" w:val="289"/>
        </w:trPr>
        <w:tc>
          <w:tcPr>
            <w:tcW w:w="0" w:type="auto"/>
            <w:vAlign w:val="bottom"/>
          </w:tcPr>
          <w:p w:rsidR="000450BB" w:rsidRPr="00A41891" w:rsidRDefault="000450BB" w:rsidP="00536044">
            <w:pPr>
              <w:widowControl w:val="0"/>
              <w:rPr>
                <w:rFonts w:ascii="Times New Roman" w:hAnsi="Times New Roman" w:cs="Times New Roman"/>
                <w:b/>
                <w:sz w:val="18"/>
                <w:szCs w:val="18"/>
              </w:rPr>
            </w:pPr>
            <w:r w:rsidRPr="00A41891">
              <w:rPr>
                <w:rFonts w:ascii="Times New Roman" w:hAnsi="Times New Roman" w:cs="Times New Roman"/>
                <w:b/>
                <w:sz w:val="18"/>
                <w:szCs w:val="18"/>
              </w:rPr>
              <w:t>Identity</w:t>
            </w:r>
          </w:p>
        </w:tc>
        <w:tc>
          <w:tcPr>
            <w:tcW w:w="0" w:type="auto"/>
            <w:vAlign w:val="bottom"/>
          </w:tcPr>
          <w:p w:rsidR="000450BB" w:rsidRPr="00A41891" w:rsidRDefault="000450BB" w:rsidP="00536044">
            <w:pPr>
              <w:widowControl w:val="0"/>
              <w:rPr>
                <w:rFonts w:ascii="Times New Roman" w:hAnsi="Times New Roman" w:cs="Times New Roman"/>
                <w:sz w:val="18"/>
                <w:szCs w:val="18"/>
              </w:rPr>
            </w:pPr>
            <w:r w:rsidRPr="00A41891">
              <w:rPr>
                <w:rFonts w:ascii="Times New Roman" w:hAnsi="Times New Roman" w:cs="Times New Roman"/>
                <w:sz w:val="18"/>
                <w:szCs w:val="18"/>
              </w:rPr>
              <w:t>[CAS Chemical Name]</w:t>
            </w:r>
          </w:p>
        </w:tc>
      </w:tr>
      <w:tr w:rsidR="000450BB" w:rsidRPr="00A41891" w:rsidTr="00536044">
        <w:tc>
          <w:tcPr>
            <w:tcW w:w="4788" w:type="dxa"/>
          </w:tcPr>
          <w:p w:rsidR="000450BB" w:rsidRPr="00A41891" w:rsidRDefault="000450BB" w:rsidP="00536044">
            <w:pPr>
              <w:widowControl w:val="0"/>
              <w:tabs>
                <w:tab w:val="center" w:pos="4680"/>
                <w:tab w:val="right" w:pos="9360"/>
              </w:tabs>
              <w:rPr>
                <w:rFonts w:ascii="Times New Roman" w:hAnsi="Times New Roman" w:cs="Times New Roman"/>
                <w:sz w:val="18"/>
                <w:szCs w:val="18"/>
              </w:rPr>
            </w:pPr>
            <w:r w:rsidRPr="00A41891">
              <w:rPr>
                <w:rFonts w:ascii="Times New Roman" w:hAnsi="Times New Roman" w:cs="Times New Roman"/>
                <w:b/>
                <w:sz w:val="18"/>
                <w:szCs w:val="18"/>
              </w:rPr>
              <w:t>CAS no.</w:t>
            </w:r>
          </w:p>
        </w:tc>
        <w:tc>
          <w:tcPr>
            <w:tcW w:w="4788" w:type="dxa"/>
          </w:tcPr>
          <w:p w:rsidR="000450BB" w:rsidRPr="00A41891" w:rsidRDefault="000450BB" w:rsidP="00536044">
            <w:pPr>
              <w:widowControl w:val="0"/>
              <w:rPr>
                <w:rFonts w:ascii="Times New Roman" w:hAnsi="Times New Roman" w:cs="Times New Roman"/>
                <w:sz w:val="18"/>
                <w:szCs w:val="18"/>
              </w:rPr>
            </w:pPr>
          </w:p>
        </w:tc>
      </w:tr>
      <w:tr w:rsidR="000450BB" w:rsidRPr="00A41891" w:rsidTr="00536044">
        <w:tc>
          <w:tcPr>
            <w:tcW w:w="4788" w:type="dxa"/>
          </w:tcPr>
          <w:p w:rsidR="000450BB" w:rsidRPr="00A41891" w:rsidRDefault="000450BB" w:rsidP="00536044">
            <w:pPr>
              <w:widowControl w:val="0"/>
              <w:rPr>
                <w:rFonts w:ascii="Times New Roman" w:hAnsi="Times New Roman" w:cs="Times New Roman"/>
                <w:sz w:val="18"/>
                <w:szCs w:val="18"/>
              </w:rPr>
            </w:pPr>
            <w:r w:rsidRPr="00A41891">
              <w:rPr>
                <w:rFonts w:ascii="Times New Roman" w:eastAsia="Calibri" w:hAnsi="Times New Roman" w:cs="Times New Roman"/>
                <w:b/>
                <w:sz w:val="18"/>
                <w:szCs w:val="18"/>
              </w:rPr>
              <w:t>Company experimental name</w:t>
            </w:r>
          </w:p>
        </w:tc>
        <w:tc>
          <w:tcPr>
            <w:tcW w:w="4788" w:type="dxa"/>
          </w:tcPr>
          <w:p w:rsidR="000450BB" w:rsidRPr="00A41891" w:rsidRDefault="000450BB" w:rsidP="00536044">
            <w:pPr>
              <w:widowControl w:val="0"/>
              <w:rPr>
                <w:rFonts w:ascii="Times New Roman" w:hAnsi="Times New Roman" w:cs="Times New Roman"/>
                <w:sz w:val="18"/>
                <w:szCs w:val="18"/>
              </w:rPr>
            </w:pPr>
          </w:p>
        </w:tc>
      </w:tr>
      <w:tr w:rsidR="000450BB" w:rsidRPr="00A41891" w:rsidTr="00536044">
        <w:tc>
          <w:tcPr>
            <w:tcW w:w="4788" w:type="dxa"/>
          </w:tcPr>
          <w:p w:rsidR="000450BB" w:rsidRPr="00A41891" w:rsidRDefault="000450BB" w:rsidP="00536044">
            <w:pPr>
              <w:widowControl w:val="0"/>
              <w:rPr>
                <w:rFonts w:ascii="Times New Roman" w:hAnsi="Times New Roman" w:cs="Times New Roman"/>
                <w:b/>
                <w:sz w:val="18"/>
                <w:szCs w:val="18"/>
              </w:rPr>
            </w:pPr>
            <w:r w:rsidRPr="00A41891">
              <w:rPr>
                <w:rFonts w:ascii="Times New Roman" w:hAnsi="Times New Roman" w:cs="Times New Roman"/>
                <w:b/>
                <w:sz w:val="18"/>
                <w:szCs w:val="18"/>
              </w:rPr>
              <w:t>Other synonyms (if applicable)</w:t>
            </w:r>
          </w:p>
        </w:tc>
        <w:tc>
          <w:tcPr>
            <w:tcW w:w="4788" w:type="dxa"/>
          </w:tcPr>
          <w:p w:rsidR="000450BB" w:rsidRPr="00A41891" w:rsidRDefault="000450BB" w:rsidP="00536044">
            <w:pPr>
              <w:widowControl w:val="0"/>
              <w:rPr>
                <w:rFonts w:ascii="Times New Roman" w:hAnsi="Times New Roman" w:cs="Times New Roman"/>
                <w:sz w:val="18"/>
                <w:szCs w:val="18"/>
              </w:rPr>
            </w:pPr>
          </w:p>
        </w:tc>
      </w:tr>
      <w:tr w:rsidR="000450BB" w:rsidRPr="00A41891" w:rsidTr="00536044">
        <w:tc>
          <w:tcPr>
            <w:tcW w:w="9576" w:type="dxa"/>
            <w:gridSpan w:val="2"/>
          </w:tcPr>
          <w:p w:rsidR="000450BB" w:rsidRPr="00A41891" w:rsidRDefault="000450BB" w:rsidP="00536044">
            <w:pPr>
              <w:widowControl w:val="0"/>
              <w:rPr>
                <w:rFonts w:ascii="Times New Roman" w:hAnsi="Times New Roman" w:cs="Times New Roman"/>
                <w:sz w:val="18"/>
                <w:szCs w:val="18"/>
              </w:rPr>
            </w:pPr>
          </w:p>
        </w:tc>
      </w:tr>
      <w:tr w:rsidR="000450BB" w:rsidRPr="00A41891" w:rsidTr="00536044">
        <w:tc>
          <w:tcPr>
            <w:tcW w:w="4788" w:type="dxa"/>
          </w:tcPr>
          <w:p w:rsidR="000450BB" w:rsidRPr="00A41891" w:rsidRDefault="000450BB" w:rsidP="00536044">
            <w:pPr>
              <w:widowControl w:val="0"/>
              <w:rPr>
                <w:rFonts w:ascii="Times New Roman" w:hAnsi="Times New Roman" w:cs="Times New Roman"/>
                <w:b/>
                <w:sz w:val="18"/>
                <w:szCs w:val="18"/>
              </w:rPr>
            </w:pPr>
            <w:r w:rsidRPr="00A41891">
              <w:rPr>
                <w:rFonts w:ascii="Times New Roman" w:hAnsi="Times New Roman" w:cs="Times New Roman"/>
                <w:b/>
                <w:sz w:val="18"/>
                <w:szCs w:val="18"/>
              </w:rPr>
              <w:t>Metabolite X</w:t>
            </w:r>
          </w:p>
        </w:tc>
        <w:tc>
          <w:tcPr>
            <w:tcW w:w="4788" w:type="dxa"/>
          </w:tcPr>
          <w:p w:rsidR="000450BB" w:rsidRPr="00A41891" w:rsidRDefault="000450BB" w:rsidP="00536044">
            <w:pPr>
              <w:widowControl w:val="0"/>
              <w:rPr>
                <w:rFonts w:ascii="Times New Roman" w:hAnsi="Times New Roman" w:cs="Times New Roman"/>
                <w:sz w:val="18"/>
                <w:szCs w:val="18"/>
              </w:rPr>
            </w:pPr>
            <w:r w:rsidRPr="00A41891">
              <w:rPr>
                <w:rFonts w:ascii="Times New Roman" w:hAnsi="Times New Roman" w:cs="Times New Roman"/>
                <w:sz w:val="18"/>
                <w:szCs w:val="18"/>
              </w:rPr>
              <w:t>(for each analyte)</w:t>
            </w:r>
          </w:p>
        </w:tc>
      </w:tr>
      <w:tr w:rsidR="000450BB" w:rsidRPr="00A41891" w:rsidTr="00536044">
        <w:tc>
          <w:tcPr>
            <w:tcW w:w="4788" w:type="dxa"/>
          </w:tcPr>
          <w:p w:rsidR="000450BB" w:rsidRPr="00A41891" w:rsidRDefault="000450BB" w:rsidP="00536044">
            <w:pPr>
              <w:widowControl w:val="0"/>
              <w:rPr>
                <w:rFonts w:ascii="Times New Roman" w:hAnsi="Times New Roman" w:cs="Times New Roman"/>
                <w:b/>
                <w:sz w:val="18"/>
                <w:szCs w:val="18"/>
              </w:rPr>
            </w:pPr>
            <w:r w:rsidRPr="00A41891">
              <w:rPr>
                <w:rFonts w:ascii="Times New Roman" w:hAnsi="Times New Roman" w:cs="Times New Roman"/>
                <w:b/>
                <w:sz w:val="18"/>
                <w:szCs w:val="18"/>
              </w:rPr>
              <w:t>Identity</w:t>
            </w:r>
          </w:p>
        </w:tc>
        <w:tc>
          <w:tcPr>
            <w:tcW w:w="4788" w:type="dxa"/>
          </w:tcPr>
          <w:p w:rsidR="000450BB" w:rsidRPr="00A41891" w:rsidRDefault="000450BB" w:rsidP="00536044">
            <w:pPr>
              <w:widowControl w:val="0"/>
              <w:rPr>
                <w:rFonts w:ascii="Times New Roman" w:hAnsi="Times New Roman" w:cs="Times New Roman"/>
                <w:sz w:val="18"/>
                <w:szCs w:val="18"/>
              </w:rPr>
            </w:pPr>
            <w:r w:rsidRPr="00A41891">
              <w:rPr>
                <w:rFonts w:ascii="Times New Roman" w:hAnsi="Times New Roman" w:cs="Times New Roman"/>
                <w:sz w:val="18"/>
                <w:szCs w:val="18"/>
              </w:rPr>
              <w:t>[CAS Chemical Name]</w:t>
            </w:r>
          </w:p>
        </w:tc>
      </w:tr>
      <w:tr w:rsidR="000450BB" w:rsidRPr="00A41891" w:rsidTr="00536044">
        <w:tc>
          <w:tcPr>
            <w:tcW w:w="4788" w:type="dxa"/>
          </w:tcPr>
          <w:p w:rsidR="000450BB" w:rsidRPr="00A41891" w:rsidRDefault="000450BB" w:rsidP="00536044">
            <w:pPr>
              <w:widowControl w:val="0"/>
              <w:rPr>
                <w:rFonts w:ascii="Times New Roman" w:hAnsi="Times New Roman" w:cs="Times New Roman"/>
                <w:b/>
                <w:sz w:val="18"/>
                <w:szCs w:val="18"/>
              </w:rPr>
            </w:pPr>
            <w:r w:rsidRPr="00A41891">
              <w:rPr>
                <w:rFonts w:ascii="Times New Roman" w:hAnsi="Times New Roman" w:cs="Times New Roman"/>
                <w:b/>
                <w:sz w:val="18"/>
                <w:szCs w:val="18"/>
              </w:rPr>
              <w:t>CAS no.</w:t>
            </w:r>
          </w:p>
        </w:tc>
        <w:tc>
          <w:tcPr>
            <w:tcW w:w="4788" w:type="dxa"/>
          </w:tcPr>
          <w:p w:rsidR="000450BB" w:rsidRPr="00A41891" w:rsidRDefault="000450BB" w:rsidP="00536044">
            <w:pPr>
              <w:widowControl w:val="0"/>
              <w:rPr>
                <w:rFonts w:ascii="Times New Roman" w:hAnsi="Times New Roman" w:cs="Times New Roman"/>
                <w:sz w:val="18"/>
                <w:szCs w:val="18"/>
              </w:rPr>
            </w:pPr>
          </w:p>
        </w:tc>
      </w:tr>
      <w:tr w:rsidR="000450BB" w:rsidRPr="00A41891" w:rsidTr="00536044">
        <w:tc>
          <w:tcPr>
            <w:tcW w:w="4788" w:type="dxa"/>
          </w:tcPr>
          <w:p w:rsidR="000450BB" w:rsidRPr="00A41891" w:rsidRDefault="000450BB" w:rsidP="00536044">
            <w:pPr>
              <w:widowControl w:val="0"/>
              <w:rPr>
                <w:rFonts w:ascii="Times New Roman" w:hAnsi="Times New Roman" w:cs="Times New Roman"/>
                <w:b/>
                <w:sz w:val="18"/>
                <w:szCs w:val="18"/>
              </w:rPr>
            </w:pPr>
            <w:r w:rsidRPr="00A41891">
              <w:rPr>
                <w:rFonts w:ascii="Times New Roman" w:eastAsia="Calibri" w:hAnsi="Times New Roman" w:cs="Times New Roman"/>
                <w:b/>
                <w:sz w:val="18"/>
                <w:szCs w:val="18"/>
              </w:rPr>
              <w:t>Company experimental name</w:t>
            </w:r>
          </w:p>
        </w:tc>
        <w:tc>
          <w:tcPr>
            <w:tcW w:w="4788" w:type="dxa"/>
          </w:tcPr>
          <w:p w:rsidR="000450BB" w:rsidRPr="00A41891" w:rsidRDefault="000450BB" w:rsidP="00536044">
            <w:pPr>
              <w:widowControl w:val="0"/>
              <w:rPr>
                <w:rFonts w:ascii="Times New Roman" w:hAnsi="Times New Roman" w:cs="Times New Roman"/>
                <w:sz w:val="18"/>
                <w:szCs w:val="18"/>
              </w:rPr>
            </w:pPr>
          </w:p>
        </w:tc>
      </w:tr>
      <w:tr w:rsidR="000450BB" w:rsidRPr="00A41891" w:rsidTr="00536044">
        <w:tc>
          <w:tcPr>
            <w:tcW w:w="4788" w:type="dxa"/>
          </w:tcPr>
          <w:p w:rsidR="000450BB" w:rsidRPr="00A41891" w:rsidRDefault="000450BB" w:rsidP="00536044">
            <w:pPr>
              <w:widowControl w:val="0"/>
              <w:rPr>
                <w:rFonts w:ascii="Times New Roman" w:eastAsia="Calibri" w:hAnsi="Times New Roman" w:cs="Times New Roman"/>
                <w:b/>
                <w:sz w:val="18"/>
                <w:szCs w:val="18"/>
              </w:rPr>
            </w:pPr>
            <w:r w:rsidRPr="00A41891">
              <w:rPr>
                <w:rFonts w:ascii="Times New Roman" w:hAnsi="Times New Roman" w:cs="Times New Roman"/>
                <w:b/>
                <w:sz w:val="18"/>
                <w:szCs w:val="18"/>
              </w:rPr>
              <w:t>Other synonyms (if applicable)</w:t>
            </w:r>
          </w:p>
        </w:tc>
        <w:tc>
          <w:tcPr>
            <w:tcW w:w="4788" w:type="dxa"/>
          </w:tcPr>
          <w:p w:rsidR="000450BB" w:rsidRPr="00A41891" w:rsidRDefault="000450BB" w:rsidP="00536044">
            <w:pPr>
              <w:widowControl w:val="0"/>
              <w:rPr>
                <w:rFonts w:ascii="Times New Roman" w:hAnsi="Times New Roman" w:cs="Times New Roman"/>
                <w:sz w:val="18"/>
                <w:szCs w:val="18"/>
              </w:rPr>
            </w:pPr>
          </w:p>
        </w:tc>
      </w:tr>
    </w:tbl>
    <w:p w:rsidR="000450BB" w:rsidRPr="001E6F6E" w:rsidRDefault="000450BB" w:rsidP="000450BB">
      <w:pPr>
        <w:widowControl w:val="0"/>
        <w:ind w:left="720" w:hanging="720"/>
        <w:rPr>
          <w:rFonts w:eastAsiaTheme="minorHAnsi"/>
          <w:b/>
          <w:szCs w:val="24"/>
          <w:lang w:eastAsia="en-US"/>
        </w:rPr>
      </w:pPr>
    </w:p>
    <w:p w:rsidR="0057578B" w:rsidRPr="00251CEE" w:rsidRDefault="007B070C" w:rsidP="00C82971">
      <w:pPr>
        <w:widowControl w:val="0"/>
        <w:tabs>
          <w:tab w:val="left" w:pos="709"/>
        </w:tabs>
        <w:ind w:left="2835" w:hanging="2835"/>
        <w:rPr>
          <w:b/>
        </w:rPr>
      </w:pPr>
      <w:r w:rsidRPr="00251CEE">
        <w:rPr>
          <w:b/>
        </w:rPr>
        <w:t>2.  Test Commodity</w:t>
      </w:r>
    </w:p>
    <w:p w:rsidR="0057578B" w:rsidRPr="00251CEE" w:rsidRDefault="007B070C" w:rsidP="00C82971">
      <w:pPr>
        <w:widowControl w:val="0"/>
        <w:ind w:left="2835" w:hanging="2126"/>
      </w:pPr>
      <w:r w:rsidRPr="00251CEE">
        <w:rPr>
          <w:b/>
        </w:rPr>
        <w:t>Livestock Matrix:</w:t>
      </w:r>
      <w:r w:rsidRPr="00251CEE">
        <w:tab/>
        <w:t>[list matrices]</w:t>
      </w:r>
    </w:p>
    <w:p w:rsidR="009461D9" w:rsidRPr="00251CEE" w:rsidRDefault="009461D9" w:rsidP="00C82971">
      <w:pPr>
        <w:widowControl w:val="0"/>
      </w:pPr>
    </w:p>
    <w:p w:rsidR="0057578B" w:rsidRPr="00251CEE" w:rsidRDefault="007B070C" w:rsidP="00C82971">
      <w:pPr>
        <w:widowControl w:val="0"/>
        <w:rPr>
          <w:b/>
        </w:rPr>
      </w:pPr>
      <w:r w:rsidRPr="00251CEE">
        <w:rPr>
          <w:b/>
        </w:rPr>
        <w:t xml:space="preserve">B.  </w:t>
      </w:r>
      <w:r w:rsidRPr="00251CEE">
        <w:rPr>
          <w:b/>
          <w:caps/>
        </w:rPr>
        <w:t>Study Design</w:t>
      </w:r>
    </w:p>
    <w:p w:rsidR="0057578B" w:rsidRPr="00251CEE" w:rsidRDefault="0057578B" w:rsidP="00C82971">
      <w:pPr>
        <w:widowControl w:val="0"/>
      </w:pPr>
    </w:p>
    <w:p w:rsidR="0057578B" w:rsidRPr="00251CEE" w:rsidRDefault="007B070C" w:rsidP="00C82971">
      <w:pPr>
        <w:widowControl w:val="0"/>
        <w:tabs>
          <w:tab w:val="left" w:pos="709"/>
        </w:tabs>
        <w:rPr>
          <w:b/>
        </w:rPr>
      </w:pPr>
      <w:r w:rsidRPr="00251CEE">
        <w:rPr>
          <w:b/>
        </w:rPr>
        <w:t>1.  Test Procedure</w:t>
      </w:r>
    </w:p>
    <w:p w:rsidR="000E697F" w:rsidRPr="00251CEE" w:rsidRDefault="000E697F" w:rsidP="00C82971">
      <w:pPr>
        <w:widowControl w:val="0"/>
        <w:ind w:left="720" w:hanging="720"/>
        <w:rPr>
          <w:b/>
          <w:szCs w:val="24"/>
        </w:rPr>
      </w:pPr>
    </w:p>
    <w:p w:rsidR="000E697F" w:rsidRPr="00251CEE" w:rsidRDefault="007B070C" w:rsidP="00C82971">
      <w:pPr>
        <w:pStyle w:val="NoSpacing"/>
        <w:widowControl w:val="0"/>
        <w:rPr>
          <w:rFonts w:cs="Times New Roman"/>
          <w:sz w:val="24"/>
          <w:szCs w:val="24"/>
          <w:lang w:val="en-US"/>
        </w:rPr>
      </w:pPr>
      <w:r w:rsidRPr="00251CEE">
        <w:rPr>
          <w:rFonts w:cs="Times New Roman"/>
          <w:sz w:val="24"/>
          <w:szCs w:val="24"/>
          <w:lang w:val="en-US"/>
        </w:rPr>
        <w:t>[Briefly describe the fortification procedure, including the solvent used for the standard fortification solution, the concentration, the stability of this solution, the condition of the matrix at the time of fortification (e.g., extract, homogenate, macerate, etc.), the time allowed for equilibrium etc.]</w:t>
      </w:r>
    </w:p>
    <w:p w:rsidR="0077248C" w:rsidRPr="00251CEE" w:rsidRDefault="0077248C" w:rsidP="00C82971">
      <w:pPr>
        <w:pStyle w:val="NoSpacing"/>
        <w:widowControl w:val="0"/>
        <w:rPr>
          <w:rFonts w:cs="Times New Roman"/>
          <w:sz w:val="24"/>
          <w:szCs w:val="24"/>
          <w:lang w:val="en-US"/>
        </w:rPr>
      </w:pPr>
    </w:p>
    <w:p w:rsidR="0077248C" w:rsidRPr="00251CEE" w:rsidRDefault="007B070C" w:rsidP="00C82971">
      <w:pPr>
        <w:pStyle w:val="NoSpacing"/>
        <w:widowControl w:val="0"/>
        <w:rPr>
          <w:rFonts w:cs="Times New Roman"/>
          <w:sz w:val="24"/>
          <w:szCs w:val="24"/>
          <w:lang w:val="en-US"/>
        </w:rPr>
      </w:pPr>
      <w:r w:rsidRPr="00251CEE">
        <w:rPr>
          <w:rFonts w:cs="Times New Roman"/>
          <w:sz w:val="24"/>
          <w:szCs w:val="24"/>
          <w:lang w:val="en-US"/>
        </w:rPr>
        <w:t>For example…</w:t>
      </w:r>
    </w:p>
    <w:p w:rsidR="0077248C" w:rsidRPr="00251CEE" w:rsidRDefault="007B070C" w:rsidP="00C82971">
      <w:pPr>
        <w:widowControl w:val="0"/>
      </w:pPr>
      <w:r w:rsidRPr="00251CEE">
        <w:t>Untreated samples of [livestock matrix] were acquired from [specify location].  The samples were transferred individually from freezer storage and processed from frozen by homogenization with dry ice using a Robot Coupe blender.  The samples were returned to freezer storage after processing and left to allow dissipation of the dry ice prior to use.</w:t>
      </w:r>
    </w:p>
    <w:p w:rsidR="0077248C" w:rsidRPr="00251CEE" w:rsidRDefault="0077248C" w:rsidP="00C82971">
      <w:pPr>
        <w:widowControl w:val="0"/>
        <w:rPr>
          <w:szCs w:val="24"/>
        </w:rPr>
      </w:pPr>
    </w:p>
    <w:p w:rsidR="0077248C" w:rsidRPr="00251CEE" w:rsidRDefault="007B070C" w:rsidP="00C82971">
      <w:pPr>
        <w:widowControl w:val="0"/>
        <w:autoSpaceDE w:val="0"/>
        <w:autoSpaceDN w:val="0"/>
        <w:adjustRightInd w:val="0"/>
        <w:rPr>
          <w:szCs w:val="24"/>
        </w:rPr>
      </w:pPr>
      <w:r w:rsidRPr="00251CEE">
        <w:rPr>
          <w:szCs w:val="24"/>
        </w:rPr>
        <w:t xml:space="preserve">A total of [xx] sub-samples of each of the three different matrices were weighed into polyethylene bottles.  For each matrix, [xx] sub-samples were used as control samples and procedural recovery samples.  The remaining [xx] sub-samples were fortified with each analyte individually at [yy] ppm and were to be used for storage stability samples. </w:t>
      </w:r>
    </w:p>
    <w:p w:rsidR="0077248C" w:rsidRPr="00251CEE" w:rsidRDefault="0077248C" w:rsidP="00C82971">
      <w:pPr>
        <w:widowControl w:val="0"/>
        <w:autoSpaceDE w:val="0"/>
        <w:autoSpaceDN w:val="0"/>
        <w:adjustRightInd w:val="0"/>
        <w:rPr>
          <w:szCs w:val="24"/>
        </w:rPr>
      </w:pPr>
    </w:p>
    <w:p w:rsidR="0077248C" w:rsidRPr="00251CEE" w:rsidRDefault="007B070C" w:rsidP="00C82971">
      <w:pPr>
        <w:widowControl w:val="0"/>
        <w:autoSpaceDE w:val="0"/>
        <w:autoSpaceDN w:val="0"/>
        <w:adjustRightInd w:val="0"/>
        <w:rPr>
          <w:szCs w:val="24"/>
        </w:rPr>
      </w:pPr>
      <w:r w:rsidRPr="00251CEE">
        <w:rPr>
          <w:szCs w:val="24"/>
        </w:rPr>
        <w:lastRenderedPageBreak/>
        <w:t>On the day of sample fortification (0 day), a single control, duplicate samples fortified with [yy] ppm of [active ingredient], duplicate samples fortified with [yy] ppm of [metabolite 1], and duplicate samples fortified with [yy] ppm of [metabolite 2] were analyzed.  The remaining samples were transferred to freezer storage (-20°C) until required for analysis.  Samples were analyzed after storage intervals of approximately [1, 3, 6, 12, and 18] months and reported that actual storage periods were 31 days (1 month), 92 days (3 months), 182 days (6 months), 365 days (12 months), and 542 days (18 months).  At the specified storage interval, a set of samples for each livestock matrix was removed from frozen storage for analysis.  The sample set for each storage interval consisted of the same number of samples as the sample set from the day-0 analysis.  No concurrent recovery samples were run for the day-0 sampling set.</w:t>
      </w:r>
    </w:p>
    <w:p w:rsidR="00E81408" w:rsidRPr="00251CEE" w:rsidRDefault="00E81408" w:rsidP="00C82971">
      <w:pPr>
        <w:widowControl w:val="0"/>
        <w:rPr>
          <w:szCs w:val="24"/>
        </w:rPr>
      </w:pPr>
    </w:p>
    <w:p w:rsidR="002C48C6" w:rsidRPr="00251CEE" w:rsidRDefault="007B070C" w:rsidP="00C82971">
      <w:pPr>
        <w:widowControl w:val="0"/>
        <w:rPr>
          <w:b/>
          <w:szCs w:val="24"/>
        </w:rPr>
      </w:pPr>
      <w:r w:rsidRPr="00251CEE">
        <w:rPr>
          <w:b/>
          <w:szCs w:val="24"/>
        </w:rPr>
        <w:t>2.  Description of Analytical Procedures</w:t>
      </w:r>
    </w:p>
    <w:p w:rsidR="002C48C6" w:rsidRPr="00251CEE" w:rsidRDefault="002C48C6" w:rsidP="00C82971">
      <w:pPr>
        <w:widowControl w:val="0"/>
        <w:rPr>
          <w:szCs w:val="24"/>
        </w:rPr>
      </w:pPr>
    </w:p>
    <w:p w:rsidR="00D60B57" w:rsidRPr="00251CEE" w:rsidRDefault="007B070C" w:rsidP="00C82971">
      <w:pPr>
        <w:widowControl w:val="0"/>
        <w:rPr>
          <w:szCs w:val="24"/>
        </w:rPr>
      </w:pPr>
      <w:r w:rsidRPr="00251CEE">
        <w:rPr>
          <w:szCs w:val="24"/>
        </w:rPr>
        <w:t xml:space="preserve">Samples of [livestock matrices] were analyzed for residues of [analyte(s)] using the Analytical Method [ID# and Title].  </w:t>
      </w:r>
      <w:r w:rsidRPr="00251CEE">
        <w:t>[Indicate if the method was previously reviewed and/or validated and for what commodities.]</w:t>
      </w:r>
    </w:p>
    <w:p w:rsidR="00D60B57" w:rsidRPr="00251CEE" w:rsidRDefault="00D60B57" w:rsidP="00C82971">
      <w:pPr>
        <w:widowControl w:val="0"/>
        <w:rPr>
          <w:szCs w:val="24"/>
        </w:rPr>
      </w:pPr>
    </w:p>
    <w:p w:rsidR="00D60B57" w:rsidRPr="00251CEE" w:rsidRDefault="007B070C" w:rsidP="00C82971">
      <w:pPr>
        <w:widowControl w:val="0"/>
        <w:rPr>
          <w:szCs w:val="24"/>
        </w:rPr>
      </w:pPr>
      <w:r w:rsidRPr="00251CEE">
        <w:t>[Reference study summary if method is described in the B.5.2 section of this review, or provide a description similar to that below if it is a different method.]</w:t>
      </w:r>
    </w:p>
    <w:p w:rsidR="00D60B57" w:rsidRPr="00251CEE" w:rsidRDefault="00D60B57" w:rsidP="00C82971">
      <w:pPr>
        <w:widowControl w:val="0"/>
        <w:rPr>
          <w:szCs w:val="24"/>
        </w:rPr>
      </w:pPr>
    </w:p>
    <w:p w:rsidR="00D60B57" w:rsidRPr="00251CEE" w:rsidRDefault="007B070C" w:rsidP="00C82971">
      <w:pPr>
        <w:widowControl w:val="0"/>
        <w:rPr>
          <w:szCs w:val="24"/>
        </w:rPr>
      </w:pPr>
      <w:r w:rsidRPr="00251CEE">
        <w:rPr>
          <w:szCs w:val="24"/>
        </w:rPr>
        <w:t>Briefly, samples</w:t>
      </w:r>
      <w:r w:rsidRPr="00251CEE">
        <w:t xml:space="preserve"> were extracted with [solvent system].  Extracts were cleaned up using [SPE column, partitioning, etc.] and a portion of this extract was analyzed for residues of [list analytes] using [describe instrument/detector system].  The LOQ was [xx] ppm for each analyte.  [</w:t>
      </w:r>
      <w:r w:rsidRPr="00251CEE">
        <w:rPr>
          <w:szCs w:val="24"/>
        </w:rPr>
        <w:t>State the LOD if available and how the LOQ and LOD were determined.]</w:t>
      </w:r>
    </w:p>
    <w:p w:rsidR="00A653AD" w:rsidRPr="00251CEE" w:rsidRDefault="00A653AD" w:rsidP="00C82971">
      <w:pPr>
        <w:widowControl w:val="0"/>
        <w:rPr>
          <w:szCs w:val="24"/>
        </w:rPr>
      </w:pPr>
    </w:p>
    <w:p w:rsidR="002C48C6" w:rsidRPr="00251CEE" w:rsidRDefault="002C48C6" w:rsidP="00C82971">
      <w:pPr>
        <w:widowControl w:val="0"/>
      </w:pPr>
    </w:p>
    <w:p w:rsidR="002C48C6" w:rsidRPr="00251CEE" w:rsidRDefault="007B070C" w:rsidP="00C82971">
      <w:pPr>
        <w:widowControl w:val="0"/>
        <w:rPr>
          <w:b/>
        </w:rPr>
      </w:pPr>
      <w:r w:rsidRPr="00251CEE">
        <w:rPr>
          <w:b/>
        </w:rPr>
        <w:t>II.  RESULTS AND DISCUSSION</w:t>
      </w:r>
    </w:p>
    <w:p w:rsidR="000E697F" w:rsidRPr="00251CEE" w:rsidRDefault="000E697F" w:rsidP="00C82971">
      <w:pPr>
        <w:widowControl w:val="0"/>
        <w:rPr>
          <w:szCs w:val="24"/>
        </w:rPr>
      </w:pPr>
    </w:p>
    <w:p w:rsidR="00DE67B4" w:rsidRPr="00251CEE" w:rsidRDefault="007B070C" w:rsidP="00C82971">
      <w:pPr>
        <w:widowControl w:val="0"/>
        <w:rPr>
          <w:szCs w:val="24"/>
        </w:rPr>
      </w:pPr>
      <w:r w:rsidRPr="00251CEE">
        <w:rPr>
          <w:szCs w:val="24"/>
        </w:rPr>
        <w:t>Method performance was evaluated [during method validation and] by use of concurrent recovery samples by fortification [livestock matrix] at [xx] and [yy] ppm.  All recoveries were within the acceptable range of 70% to 120%; therefore, the method was considered valid for the analysis of [active ingredient and metabolites] residues in [livestock] matrices (Table B.7.8.3-1).  Concurrent recoveries were used to correct the residues in the stored samples.</w:t>
      </w:r>
    </w:p>
    <w:p w:rsidR="006C5595" w:rsidRPr="00251CEE" w:rsidRDefault="006C5595" w:rsidP="00C82971">
      <w:pPr>
        <w:widowControl w:val="0"/>
        <w:rPr>
          <w:szCs w:val="24"/>
        </w:rPr>
      </w:pPr>
    </w:p>
    <w:p w:rsidR="006978B4" w:rsidRPr="00251CEE" w:rsidRDefault="007B070C" w:rsidP="00C82971">
      <w:pPr>
        <w:widowControl w:val="0"/>
        <w:tabs>
          <w:tab w:val="left" w:pos="3392"/>
          <w:tab w:val="left" w:pos="4144"/>
          <w:tab w:val="left" w:pos="5232"/>
          <w:tab w:val="left" w:pos="5936"/>
        </w:tabs>
        <w:rPr>
          <w:szCs w:val="24"/>
        </w:rPr>
      </w:pPr>
      <w:r w:rsidRPr="00251CEE">
        <w:rPr>
          <w:szCs w:val="24"/>
        </w:rPr>
        <w:t>The detector response was linear (coefficient of determination, r</w:t>
      </w:r>
      <w:r w:rsidRPr="00251CEE">
        <w:rPr>
          <w:szCs w:val="24"/>
          <w:vertAlign w:val="superscript"/>
        </w:rPr>
        <w:t>2</w:t>
      </w:r>
      <w:r w:rsidRPr="00251CEE">
        <w:rPr>
          <w:szCs w:val="24"/>
        </w:rPr>
        <w:t xml:space="preserve"> &gt; xx) within the range of [concentrations].  Representative chromatograms of control samples, fortified samples and treated samples were provided.  The control chromatograms generally had no peaks of interest above the chromatographic background.  [The fortified sample chromatograms contained only the analyte of interest, and peaks were symmetrical and well defined.]  or [Residues in controls were ≤xx ppm.]  Metabolites were expressed in parent equivalents (if study did not, the reviewer may need to do so).</w:t>
      </w:r>
    </w:p>
    <w:p w:rsidR="006978B4" w:rsidRPr="00251CEE" w:rsidRDefault="006978B4" w:rsidP="00C82971">
      <w:pPr>
        <w:widowControl w:val="0"/>
        <w:tabs>
          <w:tab w:val="left" w:pos="3392"/>
          <w:tab w:val="left" w:pos="4144"/>
          <w:tab w:val="left" w:pos="5232"/>
          <w:tab w:val="left" w:pos="5936"/>
        </w:tabs>
        <w:rPr>
          <w:szCs w:val="24"/>
        </w:rPr>
      </w:pP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549"/>
        <w:gridCol w:w="1548"/>
        <w:gridCol w:w="4497"/>
        <w:gridCol w:w="1968"/>
      </w:tblGrid>
      <w:tr w:rsidR="006978B4" w:rsidRPr="00251CEE" w:rsidTr="006978B4">
        <w:trPr>
          <w:cantSplit/>
        </w:trPr>
        <w:tc>
          <w:tcPr>
            <w:tcW w:w="9562" w:type="dxa"/>
            <w:gridSpan w:val="4"/>
            <w:tcBorders>
              <w:top w:val="single" w:sz="7" w:space="0" w:color="000000"/>
              <w:left w:val="single" w:sz="7" w:space="0" w:color="000000"/>
              <w:bottom w:val="single" w:sz="7" w:space="0" w:color="000000"/>
              <w:right w:val="single" w:sz="7" w:space="0" w:color="000000"/>
            </w:tcBorders>
          </w:tcPr>
          <w:p w:rsidR="006978B4" w:rsidRPr="00251CEE" w:rsidRDefault="007B070C" w:rsidP="00C82971">
            <w:pPr>
              <w:keepNext/>
              <w:keepLines/>
              <w:widowControl w:val="0"/>
              <w:rPr>
                <w:b/>
                <w:sz w:val="20"/>
              </w:rPr>
            </w:pPr>
            <w:r w:rsidRPr="00251CEE">
              <w:rPr>
                <w:b/>
                <w:sz w:val="20"/>
              </w:rPr>
              <w:lastRenderedPageBreak/>
              <w:t>Table B.7.8.3-2.  Summary of Procedural/Concurrent Recoveries of [Active Ingredient] from [Livestock Matrix].</w:t>
            </w:r>
          </w:p>
        </w:tc>
      </w:tr>
      <w:tr w:rsidR="006978B4" w:rsidRPr="00251CEE" w:rsidTr="006978B4">
        <w:trPr>
          <w:cantSplit/>
        </w:trPr>
        <w:tc>
          <w:tcPr>
            <w:tcW w:w="1549" w:type="dxa"/>
            <w:tcBorders>
              <w:top w:val="single" w:sz="7" w:space="0" w:color="000000"/>
              <w:left w:val="single" w:sz="7" w:space="0" w:color="000000"/>
              <w:bottom w:val="single" w:sz="15" w:space="0" w:color="000000"/>
              <w:right w:val="single" w:sz="7" w:space="0" w:color="000000"/>
            </w:tcBorders>
            <w:vAlign w:val="center"/>
          </w:tcPr>
          <w:p w:rsidR="006978B4" w:rsidRPr="00251CEE" w:rsidRDefault="007B070C" w:rsidP="00C82971">
            <w:pPr>
              <w:keepNext/>
              <w:keepLines/>
              <w:widowControl w:val="0"/>
              <w:jc w:val="center"/>
              <w:rPr>
                <w:sz w:val="18"/>
                <w:szCs w:val="18"/>
              </w:rPr>
            </w:pPr>
            <w:r w:rsidRPr="00251CEE">
              <w:rPr>
                <w:sz w:val="18"/>
                <w:szCs w:val="18"/>
              </w:rPr>
              <w:t>Matrix</w:t>
            </w:r>
          </w:p>
        </w:tc>
        <w:tc>
          <w:tcPr>
            <w:tcW w:w="1548" w:type="dxa"/>
            <w:tcBorders>
              <w:top w:val="single" w:sz="7" w:space="0" w:color="000000"/>
              <w:left w:val="single" w:sz="7" w:space="0" w:color="000000"/>
              <w:bottom w:val="single" w:sz="15" w:space="0" w:color="000000"/>
              <w:right w:val="single" w:sz="7" w:space="0" w:color="000000"/>
            </w:tcBorders>
            <w:vAlign w:val="center"/>
          </w:tcPr>
          <w:p w:rsidR="009A20F4" w:rsidRDefault="007B070C" w:rsidP="009A20F4">
            <w:pPr>
              <w:keepNext/>
              <w:keepLines/>
              <w:widowControl w:val="0"/>
              <w:jc w:val="center"/>
              <w:rPr>
                <w:sz w:val="18"/>
                <w:szCs w:val="18"/>
              </w:rPr>
            </w:pPr>
            <w:r w:rsidRPr="00251CEE">
              <w:rPr>
                <w:sz w:val="18"/>
                <w:szCs w:val="18"/>
              </w:rPr>
              <w:t>Fortification Level</w:t>
            </w:r>
          </w:p>
          <w:p w:rsidR="006978B4" w:rsidRPr="00251CEE" w:rsidRDefault="007B070C" w:rsidP="009A20F4">
            <w:pPr>
              <w:keepNext/>
              <w:keepLines/>
              <w:widowControl w:val="0"/>
              <w:jc w:val="center"/>
              <w:rPr>
                <w:sz w:val="18"/>
                <w:szCs w:val="18"/>
              </w:rPr>
            </w:pPr>
            <w:r w:rsidRPr="00251CEE">
              <w:rPr>
                <w:sz w:val="18"/>
                <w:szCs w:val="18"/>
              </w:rPr>
              <w:t>(ppm)</w:t>
            </w:r>
          </w:p>
        </w:tc>
        <w:tc>
          <w:tcPr>
            <w:tcW w:w="4497" w:type="dxa"/>
            <w:tcBorders>
              <w:top w:val="single" w:sz="7" w:space="0" w:color="000000"/>
              <w:left w:val="single" w:sz="7" w:space="0" w:color="000000"/>
              <w:bottom w:val="single" w:sz="15" w:space="0" w:color="000000"/>
              <w:right w:val="single" w:sz="7" w:space="0" w:color="000000"/>
            </w:tcBorders>
            <w:vAlign w:val="center"/>
          </w:tcPr>
          <w:p w:rsidR="009A20F4" w:rsidRDefault="007B070C" w:rsidP="009A20F4">
            <w:pPr>
              <w:keepNext/>
              <w:keepLines/>
              <w:widowControl w:val="0"/>
              <w:jc w:val="center"/>
              <w:rPr>
                <w:sz w:val="18"/>
                <w:szCs w:val="18"/>
              </w:rPr>
            </w:pPr>
            <w:r w:rsidRPr="00251CEE">
              <w:rPr>
                <w:sz w:val="18"/>
                <w:szCs w:val="18"/>
              </w:rPr>
              <w:t>Recoveries</w:t>
            </w:r>
          </w:p>
          <w:p w:rsidR="006978B4" w:rsidRPr="00251CEE" w:rsidRDefault="007B070C" w:rsidP="009A20F4">
            <w:pPr>
              <w:keepNext/>
              <w:keepLines/>
              <w:widowControl w:val="0"/>
              <w:jc w:val="center"/>
              <w:rPr>
                <w:sz w:val="18"/>
                <w:szCs w:val="18"/>
              </w:rPr>
            </w:pPr>
            <w:r w:rsidRPr="00251CEE">
              <w:rPr>
                <w:sz w:val="18"/>
                <w:szCs w:val="18"/>
              </w:rPr>
              <w:t>(%)</w:t>
            </w:r>
          </w:p>
        </w:tc>
        <w:tc>
          <w:tcPr>
            <w:tcW w:w="1968" w:type="dxa"/>
            <w:tcBorders>
              <w:top w:val="single" w:sz="7" w:space="0" w:color="000000"/>
              <w:left w:val="single" w:sz="7" w:space="0" w:color="000000"/>
              <w:bottom w:val="single" w:sz="15" w:space="0" w:color="000000"/>
              <w:right w:val="single" w:sz="7" w:space="0" w:color="000000"/>
            </w:tcBorders>
            <w:vAlign w:val="center"/>
          </w:tcPr>
          <w:p w:rsidR="009A20F4" w:rsidRDefault="007B070C" w:rsidP="009A20F4">
            <w:pPr>
              <w:keepNext/>
              <w:keepLines/>
              <w:widowControl w:val="0"/>
              <w:jc w:val="center"/>
              <w:rPr>
                <w:sz w:val="18"/>
                <w:szCs w:val="18"/>
              </w:rPr>
            </w:pPr>
            <w:r w:rsidRPr="00251CEE">
              <w:rPr>
                <w:sz w:val="18"/>
                <w:szCs w:val="18"/>
              </w:rPr>
              <w:t>Mean ± Std. Dev.</w:t>
            </w:r>
          </w:p>
          <w:p w:rsidR="006978B4" w:rsidRPr="00251CEE" w:rsidRDefault="007B070C" w:rsidP="009A20F4">
            <w:pPr>
              <w:keepNext/>
              <w:keepLines/>
              <w:widowControl w:val="0"/>
              <w:jc w:val="center"/>
              <w:rPr>
                <w:sz w:val="18"/>
                <w:szCs w:val="18"/>
              </w:rPr>
            </w:pPr>
            <w:r w:rsidRPr="00251CEE">
              <w:rPr>
                <w:sz w:val="18"/>
                <w:szCs w:val="18"/>
              </w:rPr>
              <w:t>(%)</w:t>
            </w:r>
          </w:p>
        </w:tc>
      </w:tr>
      <w:tr w:rsidR="006978B4" w:rsidRPr="00251CEE" w:rsidTr="006978B4">
        <w:trPr>
          <w:cantSplit/>
        </w:trPr>
        <w:tc>
          <w:tcPr>
            <w:tcW w:w="9562" w:type="dxa"/>
            <w:gridSpan w:val="4"/>
            <w:tcBorders>
              <w:top w:val="single" w:sz="15" w:space="0" w:color="000000"/>
              <w:left w:val="single" w:sz="7" w:space="0" w:color="000000"/>
              <w:bottom w:val="single" w:sz="7" w:space="0" w:color="000000"/>
              <w:right w:val="single" w:sz="7" w:space="0" w:color="000000"/>
            </w:tcBorders>
          </w:tcPr>
          <w:p w:rsidR="006978B4" w:rsidRPr="00251CEE" w:rsidRDefault="007B070C" w:rsidP="00C82971">
            <w:pPr>
              <w:keepNext/>
              <w:keepLines/>
              <w:widowControl w:val="0"/>
              <w:jc w:val="center"/>
              <w:rPr>
                <w:sz w:val="18"/>
                <w:szCs w:val="18"/>
              </w:rPr>
            </w:pPr>
            <w:r w:rsidRPr="00251CEE">
              <w:rPr>
                <w:sz w:val="18"/>
                <w:szCs w:val="18"/>
              </w:rPr>
              <w:t>[Analyte]</w:t>
            </w:r>
          </w:p>
        </w:tc>
      </w:tr>
      <w:tr w:rsidR="006978B4" w:rsidRPr="00251CEE" w:rsidTr="006978B4">
        <w:trPr>
          <w:cantSplit/>
        </w:trPr>
        <w:tc>
          <w:tcPr>
            <w:tcW w:w="1549" w:type="dxa"/>
            <w:tcBorders>
              <w:top w:val="single" w:sz="7" w:space="0" w:color="000000"/>
              <w:left w:val="single" w:sz="7" w:space="0" w:color="000000"/>
              <w:bottom w:val="single" w:sz="7" w:space="0" w:color="000000"/>
              <w:right w:val="single" w:sz="7" w:space="0" w:color="000000"/>
            </w:tcBorders>
          </w:tcPr>
          <w:p w:rsidR="006978B4" w:rsidRPr="00251CEE" w:rsidRDefault="006978B4" w:rsidP="00C82971">
            <w:pPr>
              <w:keepNext/>
              <w:keepLines/>
              <w:widowControl w:val="0"/>
              <w:jc w:val="center"/>
              <w:rPr>
                <w:sz w:val="18"/>
                <w:szCs w:val="18"/>
              </w:rPr>
            </w:pPr>
          </w:p>
        </w:tc>
        <w:tc>
          <w:tcPr>
            <w:tcW w:w="1548" w:type="dxa"/>
            <w:tcBorders>
              <w:top w:val="single" w:sz="7" w:space="0" w:color="000000"/>
              <w:left w:val="single" w:sz="7" w:space="0" w:color="000000"/>
              <w:bottom w:val="single" w:sz="7" w:space="0" w:color="000000"/>
              <w:right w:val="single" w:sz="7" w:space="0" w:color="000000"/>
            </w:tcBorders>
          </w:tcPr>
          <w:p w:rsidR="006978B4" w:rsidRPr="00251CEE" w:rsidRDefault="006978B4" w:rsidP="00C82971">
            <w:pPr>
              <w:keepNext/>
              <w:keepLines/>
              <w:widowControl w:val="0"/>
              <w:jc w:val="center"/>
              <w:rPr>
                <w:sz w:val="18"/>
                <w:szCs w:val="18"/>
              </w:rPr>
            </w:pPr>
          </w:p>
        </w:tc>
        <w:tc>
          <w:tcPr>
            <w:tcW w:w="4497" w:type="dxa"/>
            <w:tcBorders>
              <w:top w:val="single" w:sz="7" w:space="0" w:color="000000"/>
              <w:left w:val="single" w:sz="7" w:space="0" w:color="000000"/>
              <w:bottom w:val="single" w:sz="7" w:space="0" w:color="000000"/>
              <w:right w:val="single" w:sz="7" w:space="0" w:color="000000"/>
            </w:tcBorders>
          </w:tcPr>
          <w:p w:rsidR="006978B4" w:rsidRPr="00251CEE" w:rsidRDefault="006978B4" w:rsidP="00C82971">
            <w:pPr>
              <w:keepNext/>
              <w:keepLines/>
              <w:widowControl w:val="0"/>
              <w:jc w:val="center"/>
              <w:rPr>
                <w:sz w:val="18"/>
                <w:szCs w:val="18"/>
              </w:rPr>
            </w:pPr>
          </w:p>
        </w:tc>
        <w:tc>
          <w:tcPr>
            <w:tcW w:w="1968" w:type="dxa"/>
            <w:tcBorders>
              <w:top w:val="single" w:sz="7" w:space="0" w:color="000000"/>
              <w:left w:val="single" w:sz="7" w:space="0" w:color="000000"/>
              <w:bottom w:val="single" w:sz="7" w:space="0" w:color="000000"/>
              <w:right w:val="single" w:sz="7" w:space="0" w:color="000000"/>
            </w:tcBorders>
          </w:tcPr>
          <w:p w:rsidR="006978B4" w:rsidRPr="00251CEE" w:rsidRDefault="006978B4" w:rsidP="00C82971">
            <w:pPr>
              <w:keepNext/>
              <w:keepLines/>
              <w:widowControl w:val="0"/>
              <w:jc w:val="center"/>
              <w:rPr>
                <w:sz w:val="18"/>
                <w:szCs w:val="18"/>
              </w:rPr>
            </w:pPr>
          </w:p>
        </w:tc>
      </w:tr>
      <w:tr w:rsidR="006978B4" w:rsidRPr="00251CEE" w:rsidTr="006978B4">
        <w:trPr>
          <w:cantSplit/>
        </w:trPr>
        <w:tc>
          <w:tcPr>
            <w:tcW w:w="1549" w:type="dxa"/>
            <w:tcBorders>
              <w:top w:val="single" w:sz="7" w:space="0" w:color="000000"/>
              <w:left w:val="single" w:sz="7" w:space="0" w:color="000000"/>
              <w:bottom w:val="single" w:sz="7" w:space="0" w:color="000000"/>
              <w:right w:val="single" w:sz="7" w:space="0" w:color="000000"/>
            </w:tcBorders>
          </w:tcPr>
          <w:p w:rsidR="006978B4" w:rsidRPr="00251CEE" w:rsidRDefault="006978B4" w:rsidP="00C82971">
            <w:pPr>
              <w:keepNext/>
              <w:keepLines/>
              <w:widowControl w:val="0"/>
              <w:jc w:val="center"/>
              <w:rPr>
                <w:sz w:val="18"/>
                <w:szCs w:val="18"/>
              </w:rPr>
            </w:pPr>
          </w:p>
        </w:tc>
        <w:tc>
          <w:tcPr>
            <w:tcW w:w="1548" w:type="dxa"/>
            <w:tcBorders>
              <w:top w:val="single" w:sz="7" w:space="0" w:color="000000"/>
              <w:left w:val="single" w:sz="7" w:space="0" w:color="000000"/>
              <w:bottom w:val="single" w:sz="7" w:space="0" w:color="000000"/>
              <w:right w:val="single" w:sz="7" w:space="0" w:color="000000"/>
            </w:tcBorders>
          </w:tcPr>
          <w:p w:rsidR="006978B4" w:rsidRPr="00251CEE" w:rsidRDefault="006978B4" w:rsidP="00C82971">
            <w:pPr>
              <w:keepNext/>
              <w:keepLines/>
              <w:widowControl w:val="0"/>
              <w:jc w:val="center"/>
              <w:rPr>
                <w:sz w:val="18"/>
                <w:szCs w:val="18"/>
              </w:rPr>
            </w:pPr>
          </w:p>
        </w:tc>
        <w:tc>
          <w:tcPr>
            <w:tcW w:w="4497" w:type="dxa"/>
            <w:tcBorders>
              <w:top w:val="single" w:sz="7" w:space="0" w:color="000000"/>
              <w:left w:val="single" w:sz="7" w:space="0" w:color="000000"/>
              <w:bottom w:val="single" w:sz="7" w:space="0" w:color="000000"/>
              <w:right w:val="single" w:sz="7" w:space="0" w:color="000000"/>
            </w:tcBorders>
          </w:tcPr>
          <w:p w:rsidR="006978B4" w:rsidRPr="00251CEE" w:rsidRDefault="006978B4" w:rsidP="00C82971">
            <w:pPr>
              <w:keepNext/>
              <w:keepLines/>
              <w:widowControl w:val="0"/>
              <w:jc w:val="center"/>
              <w:rPr>
                <w:sz w:val="18"/>
                <w:szCs w:val="18"/>
              </w:rPr>
            </w:pPr>
          </w:p>
        </w:tc>
        <w:tc>
          <w:tcPr>
            <w:tcW w:w="1968" w:type="dxa"/>
            <w:tcBorders>
              <w:top w:val="single" w:sz="7" w:space="0" w:color="000000"/>
              <w:left w:val="single" w:sz="7" w:space="0" w:color="000000"/>
              <w:bottom w:val="single" w:sz="7" w:space="0" w:color="000000"/>
              <w:right w:val="single" w:sz="7" w:space="0" w:color="000000"/>
            </w:tcBorders>
          </w:tcPr>
          <w:p w:rsidR="006978B4" w:rsidRPr="00251CEE" w:rsidRDefault="006978B4" w:rsidP="00C82971">
            <w:pPr>
              <w:keepNext/>
              <w:keepLines/>
              <w:widowControl w:val="0"/>
              <w:jc w:val="center"/>
              <w:rPr>
                <w:sz w:val="18"/>
                <w:szCs w:val="18"/>
              </w:rPr>
            </w:pPr>
          </w:p>
        </w:tc>
      </w:tr>
      <w:tr w:rsidR="006978B4" w:rsidRPr="00251CEE" w:rsidTr="006978B4">
        <w:trPr>
          <w:cantSplit/>
        </w:trPr>
        <w:tc>
          <w:tcPr>
            <w:tcW w:w="1549" w:type="dxa"/>
            <w:tcBorders>
              <w:top w:val="single" w:sz="7" w:space="0" w:color="000000"/>
              <w:left w:val="single" w:sz="7" w:space="0" w:color="000000"/>
              <w:bottom w:val="single" w:sz="4" w:space="0" w:color="auto"/>
              <w:right w:val="single" w:sz="7" w:space="0" w:color="000000"/>
            </w:tcBorders>
          </w:tcPr>
          <w:p w:rsidR="006978B4" w:rsidRPr="00251CEE" w:rsidRDefault="006978B4" w:rsidP="00C82971">
            <w:pPr>
              <w:keepNext/>
              <w:keepLines/>
              <w:widowControl w:val="0"/>
              <w:jc w:val="center"/>
              <w:rPr>
                <w:sz w:val="18"/>
                <w:szCs w:val="18"/>
              </w:rPr>
            </w:pPr>
          </w:p>
        </w:tc>
        <w:tc>
          <w:tcPr>
            <w:tcW w:w="1548" w:type="dxa"/>
            <w:tcBorders>
              <w:top w:val="single" w:sz="7" w:space="0" w:color="000000"/>
              <w:left w:val="single" w:sz="7" w:space="0" w:color="000000"/>
              <w:bottom w:val="single" w:sz="4" w:space="0" w:color="auto"/>
              <w:right w:val="single" w:sz="7" w:space="0" w:color="000000"/>
            </w:tcBorders>
          </w:tcPr>
          <w:p w:rsidR="006978B4" w:rsidRPr="00251CEE" w:rsidRDefault="006978B4" w:rsidP="00C82971">
            <w:pPr>
              <w:keepNext/>
              <w:keepLines/>
              <w:widowControl w:val="0"/>
              <w:jc w:val="center"/>
              <w:rPr>
                <w:sz w:val="18"/>
                <w:szCs w:val="18"/>
              </w:rPr>
            </w:pPr>
          </w:p>
        </w:tc>
        <w:tc>
          <w:tcPr>
            <w:tcW w:w="4497" w:type="dxa"/>
            <w:tcBorders>
              <w:top w:val="single" w:sz="7" w:space="0" w:color="000000"/>
              <w:left w:val="single" w:sz="7" w:space="0" w:color="000000"/>
              <w:bottom w:val="single" w:sz="4" w:space="0" w:color="auto"/>
              <w:right w:val="single" w:sz="7" w:space="0" w:color="000000"/>
            </w:tcBorders>
          </w:tcPr>
          <w:p w:rsidR="006978B4" w:rsidRPr="00251CEE" w:rsidRDefault="006978B4" w:rsidP="00C82971">
            <w:pPr>
              <w:keepNext/>
              <w:keepLines/>
              <w:widowControl w:val="0"/>
              <w:jc w:val="center"/>
              <w:rPr>
                <w:sz w:val="18"/>
                <w:szCs w:val="18"/>
              </w:rPr>
            </w:pPr>
          </w:p>
        </w:tc>
        <w:tc>
          <w:tcPr>
            <w:tcW w:w="1968" w:type="dxa"/>
            <w:tcBorders>
              <w:top w:val="single" w:sz="7" w:space="0" w:color="000000"/>
              <w:left w:val="single" w:sz="7" w:space="0" w:color="000000"/>
              <w:bottom w:val="single" w:sz="4" w:space="0" w:color="auto"/>
              <w:right w:val="single" w:sz="7" w:space="0" w:color="000000"/>
            </w:tcBorders>
          </w:tcPr>
          <w:p w:rsidR="006978B4" w:rsidRPr="00251CEE" w:rsidRDefault="006978B4" w:rsidP="00C82971">
            <w:pPr>
              <w:keepNext/>
              <w:keepLines/>
              <w:widowControl w:val="0"/>
              <w:jc w:val="center"/>
              <w:rPr>
                <w:sz w:val="18"/>
                <w:szCs w:val="18"/>
              </w:rPr>
            </w:pPr>
          </w:p>
        </w:tc>
      </w:tr>
    </w:tbl>
    <w:p w:rsidR="007B377B" w:rsidRPr="00251CEE" w:rsidRDefault="007B377B" w:rsidP="00C82971">
      <w:pPr>
        <w:widowControl w:val="0"/>
        <w:rPr>
          <w:szCs w:val="24"/>
        </w:rPr>
      </w:pPr>
    </w:p>
    <w:p w:rsidR="0078191A" w:rsidRPr="00251CEE" w:rsidRDefault="007B070C" w:rsidP="00C82971">
      <w:pPr>
        <w:widowControl w:val="0"/>
        <w:rPr>
          <w:szCs w:val="24"/>
        </w:rPr>
      </w:pPr>
      <w:r w:rsidRPr="00251CEE">
        <w:t>[Discuss the storage stability of the analyte(s) during the tested storage intervals.  If there is noteworthy dissipation of the analytes, describe qualitatively and quantitatively (provide regression analysis if appropriate).]</w:t>
      </w:r>
    </w:p>
    <w:p w:rsidR="00386BB1" w:rsidRPr="00251CEE" w:rsidRDefault="00386BB1" w:rsidP="00C82971">
      <w:pPr>
        <w:widowControl w:val="0"/>
        <w:rPr>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230"/>
        <w:gridCol w:w="1250"/>
        <w:gridCol w:w="1250"/>
        <w:gridCol w:w="1696"/>
        <w:gridCol w:w="983"/>
        <w:gridCol w:w="1072"/>
        <w:gridCol w:w="1081"/>
      </w:tblGrid>
      <w:tr w:rsidR="00812679" w:rsidRPr="00251CEE" w:rsidTr="00D3143A">
        <w:trPr>
          <w:cantSplit/>
        </w:trPr>
        <w:tc>
          <w:tcPr>
            <w:tcW w:w="9562" w:type="dxa"/>
            <w:gridSpan w:val="7"/>
            <w:tcBorders>
              <w:bottom w:val="single" w:sz="6" w:space="0" w:color="000000"/>
            </w:tcBorders>
          </w:tcPr>
          <w:p w:rsidR="00812679" w:rsidRPr="00251CEE" w:rsidRDefault="007B070C" w:rsidP="00C82971">
            <w:pPr>
              <w:widowControl w:val="0"/>
              <w:rPr>
                <w:b/>
                <w:sz w:val="20"/>
              </w:rPr>
            </w:pPr>
            <w:r w:rsidRPr="00251CEE">
              <w:rPr>
                <w:b/>
                <w:sz w:val="20"/>
              </w:rPr>
              <w:t>Table B.7.8.3-3.  Stability of [Active Ingredient] Residues in [Livestock Matrices] During Storage at [xx]°C.</w:t>
            </w:r>
          </w:p>
        </w:tc>
      </w:tr>
      <w:tr w:rsidR="003A767B" w:rsidRPr="00251CEE" w:rsidTr="00D3143A">
        <w:trPr>
          <w:cantSplit/>
        </w:trPr>
        <w:tc>
          <w:tcPr>
            <w:tcW w:w="2230" w:type="dxa"/>
            <w:tcBorders>
              <w:bottom w:val="single" w:sz="12" w:space="0" w:color="000000"/>
            </w:tcBorders>
            <w:vAlign w:val="center"/>
          </w:tcPr>
          <w:p w:rsidR="00BE7EF1" w:rsidRPr="00251CEE" w:rsidRDefault="007B070C" w:rsidP="00C82971">
            <w:pPr>
              <w:widowControl w:val="0"/>
              <w:jc w:val="center"/>
              <w:rPr>
                <w:sz w:val="18"/>
                <w:szCs w:val="18"/>
              </w:rPr>
            </w:pPr>
            <w:r w:rsidRPr="00251CEE">
              <w:rPr>
                <w:sz w:val="18"/>
                <w:szCs w:val="18"/>
              </w:rPr>
              <w:t>Commodity</w:t>
            </w:r>
          </w:p>
        </w:tc>
        <w:tc>
          <w:tcPr>
            <w:tcW w:w="1250" w:type="dxa"/>
            <w:tcBorders>
              <w:bottom w:val="single" w:sz="12" w:space="0" w:color="000000"/>
            </w:tcBorders>
            <w:vAlign w:val="center"/>
          </w:tcPr>
          <w:p w:rsidR="00BE7EF1" w:rsidRPr="00251CEE" w:rsidRDefault="007B070C" w:rsidP="00C82971">
            <w:pPr>
              <w:widowControl w:val="0"/>
              <w:jc w:val="center"/>
              <w:rPr>
                <w:sz w:val="18"/>
                <w:szCs w:val="18"/>
              </w:rPr>
            </w:pPr>
            <w:r w:rsidRPr="00251CEE">
              <w:rPr>
                <w:sz w:val="18"/>
                <w:szCs w:val="18"/>
              </w:rPr>
              <w:t>Storage Duration (days/months)</w:t>
            </w:r>
          </w:p>
        </w:tc>
        <w:tc>
          <w:tcPr>
            <w:tcW w:w="1250" w:type="dxa"/>
            <w:tcBorders>
              <w:bottom w:val="single" w:sz="12" w:space="0" w:color="000000"/>
            </w:tcBorders>
            <w:vAlign w:val="center"/>
          </w:tcPr>
          <w:p w:rsidR="009A20F4" w:rsidRDefault="007B070C" w:rsidP="009A20F4">
            <w:pPr>
              <w:widowControl w:val="0"/>
              <w:jc w:val="center"/>
              <w:rPr>
                <w:sz w:val="18"/>
                <w:szCs w:val="18"/>
              </w:rPr>
            </w:pPr>
            <w:r w:rsidRPr="00251CEE">
              <w:rPr>
                <w:sz w:val="18"/>
                <w:szCs w:val="18"/>
              </w:rPr>
              <w:t>Fortification Level</w:t>
            </w:r>
          </w:p>
          <w:p w:rsidR="00BE7EF1" w:rsidRPr="00251CEE" w:rsidRDefault="007B070C" w:rsidP="009A20F4">
            <w:pPr>
              <w:widowControl w:val="0"/>
              <w:jc w:val="center"/>
              <w:rPr>
                <w:sz w:val="18"/>
                <w:szCs w:val="18"/>
              </w:rPr>
            </w:pPr>
            <w:r w:rsidRPr="00251CEE">
              <w:rPr>
                <w:sz w:val="18"/>
                <w:szCs w:val="18"/>
              </w:rPr>
              <w:t>(ppm)</w:t>
            </w:r>
          </w:p>
        </w:tc>
        <w:tc>
          <w:tcPr>
            <w:tcW w:w="1696" w:type="dxa"/>
            <w:tcBorders>
              <w:bottom w:val="single" w:sz="12" w:space="0" w:color="000000"/>
            </w:tcBorders>
            <w:vAlign w:val="center"/>
          </w:tcPr>
          <w:p w:rsidR="00BE7EF1" w:rsidRPr="00251CEE" w:rsidRDefault="007B070C" w:rsidP="00C82971">
            <w:pPr>
              <w:widowControl w:val="0"/>
              <w:jc w:val="center"/>
              <w:rPr>
                <w:sz w:val="18"/>
                <w:szCs w:val="18"/>
              </w:rPr>
            </w:pPr>
            <w:r w:rsidRPr="00251CEE">
              <w:rPr>
                <w:sz w:val="18"/>
                <w:szCs w:val="18"/>
              </w:rPr>
              <w:t>Recovered Residues</w:t>
            </w:r>
          </w:p>
          <w:p w:rsidR="00BE7EF1" w:rsidRPr="00251CEE" w:rsidRDefault="007B070C" w:rsidP="00C82971">
            <w:pPr>
              <w:widowControl w:val="0"/>
              <w:jc w:val="center"/>
              <w:rPr>
                <w:sz w:val="18"/>
                <w:szCs w:val="18"/>
              </w:rPr>
            </w:pPr>
            <w:r w:rsidRPr="00251CEE">
              <w:rPr>
                <w:sz w:val="18"/>
                <w:szCs w:val="18"/>
              </w:rPr>
              <w:t>(ppm)</w:t>
            </w:r>
          </w:p>
        </w:tc>
        <w:tc>
          <w:tcPr>
            <w:tcW w:w="983" w:type="dxa"/>
            <w:tcBorders>
              <w:bottom w:val="single" w:sz="12" w:space="0" w:color="000000"/>
            </w:tcBorders>
            <w:vAlign w:val="center"/>
          </w:tcPr>
          <w:p w:rsidR="00BE7EF1" w:rsidRPr="00251CEE" w:rsidRDefault="007B070C" w:rsidP="00C82971">
            <w:pPr>
              <w:widowControl w:val="0"/>
              <w:jc w:val="center"/>
              <w:rPr>
                <w:sz w:val="18"/>
                <w:szCs w:val="18"/>
              </w:rPr>
            </w:pPr>
            <w:r w:rsidRPr="00251CEE">
              <w:rPr>
                <w:sz w:val="18"/>
                <w:szCs w:val="18"/>
              </w:rPr>
              <w:t>Mean Recovery</w:t>
            </w:r>
            <w:r w:rsidR="00251CEE">
              <w:rPr>
                <w:sz w:val="18"/>
                <w:szCs w:val="18"/>
              </w:rPr>
              <w:t xml:space="preserve"> </w:t>
            </w:r>
            <w:r w:rsidRPr="00251CEE">
              <w:rPr>
                <w:sz w:val="18"/>
                <w:szCs w:val="18"/>
              </w:rPr>
              <w:t>(%)</w:t>
            </w:r>
          </w:p>
        </w:tc>
        <w:tc>
          <w:tcPr>
            <w:tcW w:w="1072" w:type="dxa"/>
            <w:tcBorders>
              <w:bottom w:val="single" w:sz="12" w:space="0" w:color="000000"/>
            </w:tcBorders>
            <w:vAlign w:val="center"/>
          </w:tcPr>
          <w:p w:rsidR="00BE7EF1" w:rsidRPr="00251CEE" w:rsidRDefault="007B070C" w:rsidP="00C82971">
            <w:pPr>
              <w:widowControl w:val="0"/>
              <w:jc w:val="center"/>
              <w:rPr>
                <w:sz w:val="18"/>
                <w:szCs w:val="18"/>
              </w:rPr>
            </w:pPr>
            <w:r w:rsidRPr="00251CEE">
              <w:rPr>
                <w:sz w:val="18"/>
                <w:szCs w:val="18"/>
              </w:rPr>
              <w:t>Concurrent Recovery</w:t>
            </w:r>
            <w:r w:rsidR="00251CEE">
              <w:rPr>
                <w:sz w:val="18"/>
                <w:szCs w:val="18"/>
              </w:rPr>
              <w:t xml:space="preserve"> </w:t>
            </w:r>
            <w:r w:rsidRPr="00251CEE">
              <w:rPr>
                <w:sz w:val="18"/>
                <w:szCs w:val="18"/>
              </w:rPr>
              <w:t>(%)</w:t>
            </w:r>
          </w:p>
        </w:tc>
        <w:tc>
          <w:tcPr>
            <w:tcW w:w="1081" w:type="dxa"/>
            <w:tcBorders>
              <w:bottom w:val="single" w:sz="12" w:space="0" w:color="000000"/>
            </w:tcBorders>
            <w:vAlign w:val="center"/>
          </w:tcPr>
          <w:p w:rsidR="003A767B" w:rsidRPr="00251CEE" w:rsidRDefault="007B070C" w:rsidP="00C82971">
            <w:pPr>
              <w:widowControl w:val="0"/>
              <w:jc w:val="center"/>
              <w:rPr>
                <w:sz w:val="18"/>
                <w:szCs w:val="18"/>
              </w:rPr>
            </w:pPr>
            <w:r w:rsidRPr="00251CEE">
              <w:rPr>
                <w:sz w:val="18"/>
                <w:szCs w:val="18"/>
              </w:rPr>
              <w:t>Corrected Recovery</w:t>
            </w:r>
            <w:r w:rsidRPr="00251CEE">
              <w:rPr>
                <w:sz w:val="18"/>
                <w:szCs w:val="18"/>
                <w:vertAlign w:val="superscript"/>
              </w:rPr>
              <w:t>1</w:t>
            </w:r>
          </w:p>
          <w:p w:rsidR="00BE7EF1" w:rsidRPr="00251CEE" w:rsidRDefault="007B070C" w:rsidP="00C82971">
            <w:pPr>
              <w:widowControl w:val="0"/>
              <w:jc w:val="center"/>
              <w:rPr>
                <w:sz w:val="18"/>
                <w:szCs w:val="18"/>
              </w:rPr>
            </w:pPr>
            <w:r w:rsidRPr="00251CEE">
              <w:rPr>
                <w:sz w:val="18"/>
                <w:szCs w:val="18"/>
              </w:rPr>
              <w:t>(%)</w:t>
            </w:r>
          </w:p>
        </w:tc>
      </w:tr>
      <w:tr w:rsidR="00B46054" w:rsidRPr="00251CEE" w:rsidTr="00D3143A">
        <w:trPr>
          <w:cantSplit/>
        </w:trPr>
        <w:tc>
          <w:tcPr>
            <w:tcW w:w="9562" w:type="dxa"/>
            <w:gridSpan w:val="7"/>
            <w:tcBorders>
              <w:top w:val="single" w:sz="12" w:space="0" w:color="000000"/>
            </w:tcBorders>
          </w:tcPr>
          <w:p w:rsidR="00B46054" w:rsidRPr="00251CEE" w:rsidRDefault="007B070C" w:rsidP="00C82971">
            <w:pPr>
              <w:widowControl w:val="0"/>
              <w:jc w:val="center"/>
              <w:rPr>
                <w:sz w:val="18"/>
                <w:szCs w:val="18"/>
              </w:rPr>
            </w:pPr>
            <w:r w:rsidRPr="00251CEE">
              <w:rPr>
                <w:sz w:val="18"/>
                <w:szCs w:val="18"/>
              </w:rPr>
              <w:t>[Analyte]</w:t>
            </w:r>
          </w:p>
        </w:tc>
      </w:tr>
      <w:tr w:rsidR="003A767B" w:rsidRPr="00251CEE" w:rsidTr="00D3143A">
        <w:trPr>
          <w:cantSplit/>
        </w:trPr>
        <w:tc>
          <w:tcPr>
            <w:tcW w:w="2230" w:type="dxa"/>
          </w:tcPr>
          <w:p w:rsidR="00BE7EF1" w:rsidRPr="00251CEE" w:rsidRDefault="00BE7EF1" w:rsidP="00C82971">
            <w:pPr>
              <w:widowControl w:val="0"/>
              <w:jc w:val="center"/>
              <w:rPr>
                <w:sz w:val="18"/>
                <w:szCs w:val="18"/>
              </w:rPr>
            </w:pPr>
          </w:p>
        </w:tc>
        <w:tc>
          <w:tcPr>
            <w:tcW w:w="1250" w:type="dxa"/>
          </w:tcPr>
          <w:p w:rsidR="00BE7EF1" w:rsidRPr="00251CEE" w:rsidRDefault="00BE7EF1" w:rsidP="00C82971">
            <w:pPr>
              <w:widowControl w:val="0"/>
              <w:jc w:val="center"/>
              <w:rPr>
                <w:sz w:val="18"/>
                <w:szCs w:val="18"/>
              </w:rPr>
            </w:pPr>
          </w:p>
        </w:tc>
        <w:tc>
          <w:tcPr>
            <w:tcW w:w="1250" w:type="dxa"/>
          </w:tcPr>
          <w:p w:rsidR="00BE7EF1" w:rsidRPr="00251CEE" w:rsidRDefault="00BE7EF1" w:rsidP="00C82971">
            <w:pPr>
              <w:widowControl w:val="0"/>
              <w:jc w:val="center"/>
              <w:rPr>
                <w:sz w:val="18"/>
                <w:szCs w:val="18"/>
              </w:rPr>
            </w:pPr>
          </w:p>
        </w:tc>
        <w:tc>
          <w:tcPr>
            <w:tcW w:w="1696" w:type="dxa"/>
          </w:tcPr>
          <w:p w:rsidR="00BE7EF1" w:rsidRPr="00251CEE" w:rsidRDefault="00BE7EF1" w:rsidP="00C82971">
            <w:pPr>
              <w:widowControl w:val="0"/>
              <w:jc w:val="center"/>
              <w:rPr>
                <w:sz w:val="18"/>
                <w:szCs w:val="18"/>
              </w:rPr>
            </w:pPr>
          </w:p>
        </w:tc>
        <w:tc>
          <w:tcPr>
            <w:tcW w:w="983" w:type="dxa"/>
          </w:tcPr>
          <w:p w:rsidR="00BE7EF1" w:rsidRPr="00251CEE" w:rsidRDefault="00BE7EF1" w:rsidP="00C82971">
            <w:pPr>
              <w:widowControl w:val="0"/>
              <w:jc w:val="center"/>
              <w:rPr>
                <w:sz w:val="18"/>
                <w:szCs w:val="18"/>
              </w:rPr>
            </w:pPr>
          </w:p>
        </w:tc>
        <w:tc>
          <w:tcPr>
            <w:tcW w:w="1072" w:type="dxa"/>
          </w:tcPr>
          <w:p w:rsidR="00BE7EF1" w:rsidRPr="00251CEE" w:rsidRDefault="00BE7EF1" w:rsidP="00C82971">
            <w:pPr>
              <w:widowControl w:val="0"/>
              <w:jc w:val="center"/>
              <w:rPr>
                <w:sz w:val="18"/>
                <w:szCs w:val="18"/>
              </w:rPr>
            </w:pPr>
          </w:p>
        </w:tc>
        <w:tc>
          <w:tcPr>
            <w:tcW w:w="1081" w:type="dxa"/>
          </w:tcPr>
          <w:p w:rsidR="00BE7EF1" w:rsidRPr="00251CEE" w:rsidRDefault="00BE7EF1" w:rsidP="00C82971">
            <w:pPr>
              <w:widowControl w:val="0"/>
              <w:jc w:val="center"/>
              <w:rPr>
                <w:sz w:val="18"/>
                <w:szCs w:val="18"/>
              </w:rPr>
            </w:pPr>
          </w:p>
        </w:tc>
      </w:tr>
      <w:tr w:rsidR="003A767B" w:rsidRPr="00251CEE" w:rsidTr="00D3143A">
        <w:trPr>
          <w:cantSplit/>
        </w:trPr>
        <w:tc>
          <w:tcPr>
            <w:tcW w:w="2230" w:type="dxa"/>
          </w:tcPr>
          <w:p w:rsidR="00BE7EF1" w:rsidRPr="00251CEE" w:rsidRDefault="00BE7EF1" w:rsidP="00C82971">
            <w:pPr>
              <w:widowControl w:val="0"/>
              <w:jc w:val="center"/>
              <w:rPr>
                <w:sz w:val="18"/>
                <w:szCs w:val="18"/>
              </w:rPr>
            </w:pPr>
          </w:p>
        </w:tc>
        <w:tc>
          <w:tcPr>
            <w:tcW w:w="1250" w:type="dxa"/>
          </w:tcPr>
          <w:p w:rsidR="00BE7EF1" w:rsidRPr="00251CEE" w:rsidRDefault="00BE7EF1" w:rsidP="00C82971">
            <w:pPr>
              <w:widowControl w:val="0"/>
              <w:jc w:val="center"/>
              <w:rPr>
                <w:sz w:val="18"/>
                <w:szCs w:val="18"/>
              </w:rPr>
            </w:pPr>
          </w:p>
        </w:tc>
        <w:tc>
          <w:tcPr>
            <w:tcW w:w="1250" w:type="dxa"/>
          </w:tcPr>
          <w:p w:rsidR="00BE7EF1" w:rsidRPr="00251CEE" w:rsidRDefault="00BE7EF1" w:rsidP="00C82971">
            <w:pPr>
              <w:widowControl w:val="0"/>
              <w:jc w:val="center"/>
              <w:rPr>
                <w:sz w:val="18"/>
                <w:szCs w:val="18"/>
              </w:rPr>
            </w:pPr>
          </w:p>
        </w:tc>
        <w:tc>
          <w:tcPr>
            <w:tcW w:w="1696" w:type="dxa"/>
          </w:tcPr>
          <w:p w:rsidR="00BE7EF1" w:rsidRPr="00251CEE" w:rsidRDefault="00BE7EF1" w:rsidP="00C82971">
            <w:pPr>
              <w:widowControl w:val="0"/>
              <w:jc w:val="center"/>
              <w:rPr>
                <w:sz w:val="18"/>
                <w:szCs w:val="18"/>
              </w:rPr>
            </w:pPr>
          </w:p>
        </w:tc>
        <w:tc>
          <w:tcPr>
            <w:tcW w:w="983" w:type="dxa"/>
          </w:tcPr>
          <w:p w:rsidR="00BE7EF1" w:rsidRPr="00251CEE" w:rsidRDefault="00BE7EF1" w:rsidP="00C82971">
            <w:pPr>
              <w:widowControl w:val="0"/>
              <w:jc w:val="center"/>
              <w:rPr>
                <w:sz w:val="18"/>
                <w:szCs w:val="18"/>
              </w:rPr>
            </w:pPr>
          </w:p>
        </w:tc>
        <w:tc>
          <w:tcPr>
            <w:tcW w:w="1072" w:type="dxa"/>
          </w:tcPr>
          <w:p w:rsidR="00BE7EF1" w:rsidRPr="00251CEE" w:rsidRDefault="00BE7EF1" w:rsidP="00C82971">
            <w:pPr>
              <w:widowControl w:val="0"/>
              <w:jc w:val="center"/>
              <w:rPr>
                <w:sz w:val="18"/>
                <w:szCs w:val="18"/>
              </w:rPr>
            </w:pPr>
          </w:p>
        </w:tc>
        <w:tc>
          <w:tcPr>
            <w:tcW w:w="1081" w:type="dxa"/>
          </w:tcPr>
          <w:p w:rsidR="00BE7EF1" w:rsidRPr="00251CEE" w:rsidRDefault="00BE7EF1" w:rsidP="00C82971">
            <w:pPr>
              <w:widowControl w:val="0"/>
              <w:jc w:val="center"/>
              <w:rPr>
                <w:sz w:val="18"/>
                <w:szCs w:val="18"/>
              </w:rPr>
            </w:pPr>
          </w:p>
        </w:tc>
      </w:tr>
    </w:tbl>
    <w:p w:rsidR="003D743B" w:rsidRPr="00251CEE" w:rsidRDefault="007B070C" w:rsidP="00C82971">
      <w:pPr>
        <w:widowControl w:val="0"/>
        <w:rPr>
          <w:sz w:val="18"/>
          <w:szCs w:val="18"/>
        </w:rPr>
      </w:pPr>
      <w:r w:rsidRPr="00251CEE">
        <w:rPr>
          <w:sz w:val="18"/>
          <w:szCs w:val="18"/>
          <w:vertAlign w:val="superscript"/>
        </w:rPr>
        <w:t>1</w:t>
      </w:r>
      <w:r w:rsidRPr="00251CEE">
        <w:rPr>
          <w:sz w:val="18"/>
          <w:szCs w:val="18"/>
        </w:rPr>
        <w:t xml:space="preserve"> Corrected for concurrent recovery.</w:t>
      </w:r>
    </w:p>
    <w:p w:rsidR="00481976" w:rsidRPr="00251CEE" w:rsidRDefault="00481976" w:rsidP="00C82971">
      <w:pPr>
        <w:widowControl w:val="0"/>
        <w:rPr>
          <w:szCs w:val="24"/>
        </w:rPr>
      </w:pPr>
    </w:p>
    <w:p w:rsidR="003A767B" w:rsidRPr="00251CEE" w:rsidRDefault="007B070C" w:rsidP="00C82971">
      <w:pPr>
        <w:widowControl w:val="0"/>
        <w:rPr>
          <w:szCs w:val="24"/>
        </w:rPr>
      </w:pPr>
      <w:r w:rsidRPr="00251CEE">
        <w:rPr>
          <w:szCs w:val="24"/>
        </w:rPr>
        <w:t>[Insert a figure (Figure B.7.8.3-1) of % recovery over time if such a figure will facilitate describing the stability profile and any dissipation trends or modeling.]</w:t>
      </w:r>
    </w:p>
    <w:p w:rsidR="003A767B" w:rsidRPr="00251CEE" w:rsidRDefault="003A767B" w:rsidP="00C82971">
      <w:pPr>
        <w:widowControl w:val="0"/>
        <w:rPr>
          <w:szCs w:val="24"/>
        </w:rPr>
      </w:pPr>
    </w:p>
    <w:p w:rsidR="001C6037" w:rsidRPr="00251CEE" w:rsidRDefault="001C6037" w:rsidP="00C82971">
      <w:pPr>
        <w:widowControl w:val="0"/>
      </w:pPr>
    </w:p>
    <w:p w:rsidR="006F75EA" w:rsidRPr="00251CEE" w:rsidRDefault="007B070C" w:rsidP="00C82971">
      <w:pPr>
        <w:widowControl w:val="0"/>
        <w:rPr>
          <w:b/>
        </w:rPr>
      </w:pPr>
      <w:r w:rsidRPr="00251CEE">
        <w:rPr>
          <w:b/>
        </w:rPr>
        <w:t>III.  CONCLUSIONS</w:t>
      </w:r>
    </w:p>
    <w:p w:rsidR="00812679" w:rsidRPr="00251CEE" w:rsidRDefault="00812679" w:rsidP="00C82971">
      <w:pPr>
        <w:widowControl w:val="0"/>
      </w:pPr>
    </w:p>
    <w:p w:rsidR="00673FFA" w:rsidRPr="00251CEE" w:rsidRDefault="007B070C" w:rsidP="00C82971">
      <w:pPr>
        <w:widowControl w:val="0"/>
      </w:pPr>
      <w:r w:rsidRPr="00251CEE">
        <w:t xml:space="preserve">The storage stability study with [livestock matrices] is considered scientifically [acceptable or unacceptable].  </w:t>
      </w:r>
      <w:r w:rsidR="00F81E92" w:rsidRPr="00251CEE">
        <w:rPr>
          <w:szCs w:val="24"/>
        </w:rPr>
        <w:fldChar w:fldCharType="begin"/>
      </w:r>
      <w:r w:rsidRPr="00251CEE">
        <w:rPr>
          <w:szCs w:val="24"/>
        </w:rPr>
        <w:instrText xml:space="preserve"> SEQ CHAPTER \h \r 1</w:instrText>
      </w:r>
      <w:r w:rsidR="00F81E92" w:rsidRPr="00251CEE">
        <w:rPr>
          <w:szCs w:val="24"/>
        </w:rPr>
        <w:fldChar w:fldCharType="end"/>
      </w:r>
      <w:r w:rsidR="008F292D" w:rsidRPr="00251CEE">
        <w:t xml:space="preserve">The results of the study showed that </w:t>
      </w:r>
      <w:r w:rsidRPr="00251CEE">
        <w:t xml:space="preserve">residues of [analytes] are stable for at least [xx months] when stored at or below [yy°C].  [Describe any dissipation during storage and its impact on interpretation of residue studies.] </w:t>
      </w:r>
    </w:p>
    <w:p w:rsidR="00673FFA" w:rsidRPr="00251CEE" w:rsidRDefault="00673FFA" w:rsidP="00C82971">
      <w:pPr>
        <w:widowControl w:val="0"/>
      </w:pPr>
    </w:p>
    <w:p w:rsidR="008F292D" w:rsidRPr="00251CEE" w:rsidRDefault="007B070C" w:rsidP="00C82971">
      <w:pPr>
        <w:widowControl w:val="0"/>
        <w:rPr>
          <w:szCs w:val="24"/>
        </w:rPr>
      </w:pPr>
      <w:r w:rsidRPr="00251CEE">
        <w:t>If storage stability was shown for the four livestock commodity (muscle, liver, milk, and eggs), then discuss the finding that stability is assumed for all livestock commodities.</w:t>
      </w:r>
    </w:p>
    <w:p w:rsidR="00D00B7C" w:rsidRPr="00251CEE" w:rsidRDefault="00D00B7C" w:rsidP="00C82971">
      <w:pPr>
        <w:widowControl w:val="0"/>
      </w:pPr>
    </w:p>
    <w:p w:rsidR="00594E7A" w:rsidRPr="00251CEE" w:rsidRDefault="007B070C" w:rsidP="00C82971">
      <w:pPr>
        <w:widowControl w:val="0"/>
        <w:rPr>
          <w:szCs w:val="24"/>
        </w:rPr>
      </w:pPr>
      <w:r w:rsidRPr="00251CEE">
        <w:rPr>
          <w:szCs w:val="24"/>
        </w:rPr>
        <w:t>For example…</w:t>
      </w:r>
    </w:p>
    <w:p w:rsidR="00594E7A" w:rsidRPr="00251CEE" w:rsidRDefault="007B070C" w:rsidP="00C82971">
      <w:pPr>
        <w:widowControl w:val="0"/>
        <w:rPr>
          <w:szCs w:val="24"/>
        </w:rPr>
      </w:pPr>
      <w:r w:rsidRPr="00251CEE">
        <w:rPr>
          <w:szCs w:val="24"/>
        </w:rPr>
        <w:t>The corrected recoveries in the storage stability study suggest [active ingredient and metabolites] are stable in muscle, liver, milk, and eggs for up to xx months when stored frozen.</w:t>
      </w:r>
    </w:p>
    <w:p w:rsidR="009501CA" w:rsidRPr="00251CEE" w:rsidRDefault="009501CA" w:rsidP="00C82971">
      <w:pPr>
        <w:widowControl w:val="0"/>
      </w:pPr>
    </w:p>
    <w:p w:rsidR="000A40AC" w:rsidRPr="00251CEE" w:rsidRDefault="000A40AC" w:rsidP="00C82971">
      <w:pPr>
        <w:widowControl w:val="0"/>
      </w:pPr>
    </w:p>
    <w:p w:rsidR="00812679" w:rsidRPr="00251CEE" w:rsidRDefault="007B070C" w:rsidP="00C82971">
      <w:pPr>
        <w:widowControl w:val="0"/>
        <w:ind w:left="720" w:hanging="720"/>
      </w:pPr>
      <w:r w:rsidRPr="00251CEE">
        <w:rPr>
          <w:b/>
        </w:rPr>
        <w:t>REFERENCES</w:t>
      </w:r>
    </w:p>
    <w:p w:rsidR="00812679" w:rsidRPr="00251CEE" w:rsidRDefault="00812679" w:rsidP="00C82971">
      <w:pPr>
        <w:widowControl w:val="0"/>
      </w:pPr>
    </w:p>
    <w:p w:rsidR="001003EA" w:rsidRDefault="007B070C" w:rsidP="00C82971">
      <w:pPr>
        <w:widowControl w:val="0"/>
      </w:pPr>
      <w:r w:rsidRPr="00251CEE">
        <w:t>Cite references for analytical methods [include the EPA MRID# and PMRA# of both the study and the review (if available)].</w:t>
      </w:r>
    </w:p>
    <w:p w:rsidR="00490BB3" w:rsidRDefault="00490BB3" w:rsidP="00C82971">
      <w:pPr>
        <w:widowControl w:val="0"/>
      </w:pPr>
    </w:p>
    <w:p w:rsidR="00490BB3" w:rsidRDefault="00490BB3" w:rsidP="00C82971">
      <w:pPr>
        <w:widowControl w:val="0"/>
      </w:pPr>
    </w:p>
    <w:p w:rsidR="00490BB3" w:rsidRDefault="00490BB3" w:rsidP="00C82971">
      <w:pPr>
        <w:widowControl w:val="0"/>
      </w:pPr>
      <w:bookmarkStart w:id="1" w:name="_GoBack"/>
      <w:bookmarkEnd w:id="1"/>
    </w:p>
    <w:p w:rsidR="00490BB3" w:rsidRPr="00490BB3" w:rsidRDefault="00490BB3" w:rsidP="00C82971">
      <w:pPr>
        <w:widowControl w:val="0"/>
        <w:rPr>
          <w:sz w:val="20"/>
        </w:rPr>
      </w:pPr>
      <w:r>
        <w:t>Template Version – February 2016</w:t>
      </w:r>
    </w:p>
    <w:sectPr w:rsidR="00490BB3" w:rsidRPr="00490BB3" w:rsidSect="00FC0C57">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1080" w:right="1440" w:bottom="1349"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D8" w:rsidRDefault="00C059D8" w:rsidP="00605FFA">
      <w:r>
        <w:separator/>
      </w:r>
    </w:p>
  </w:endnote>
  <w:endnote w:type="continuationSeparator" w:id="0">
    <w:p w:rsidR="00C059D8" w:rsidRDefault="00C059D8" w:rsidP="0060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r –¾’©">
    <w:altName w:val="MS Mincho"/>
    <w:panose1 w:val="00000000000000000000"/>
    <w:charset w:val="80"/>
    <w:family w:val="roman"/>
    <w:notTrueType/>
    <w:pitch w:val="default"/>
    <w:sig w:usb0="00000000" w:usb1="08070000" w:usb2="00000010" w:usb3="00000000" w:csb0="00020000" w:csb1="00000000"/>
  </w:font>
  <w:font w:name="‚l‚r ƒSƒVƒbƒN">
    <w:altName w:val="Arial Unicode MS"/>
    <w:panose1 w:val="00000000000000000000"/>
    <w:charset w:val="80"/>
    <w:family w:val="moder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Default="00B65FC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0"/>
      </w:rPr>
      <w:t xml:space="preserve">Page </w:t>
    </w:r>
    <w:r>
      <w:rPr>
        <w:sz w:val="20"/>
      </w:rPr>
      <w:pgNum/>
    </w:r>
    <w:r>
      <w:rPr>
        <w:sz w:val="20"/>
      </w:rPr>
      <w:t xml:space="preserve"> of  </w:t>
    </w:r>
    <w:r w:rsidR="00F81E92">
      <w:fldChar w:fldCharType="begin"/>
    </w:r>
    <w:r w:rsidR="000A24A5">
      <w:instrText xml:space="preserve"> NUMPAGES \* arabic \* MERGEFORMAT </w:instrText>
    </w:r>
    <w:r w:rsidR="00F81E92">
      <w:fldChar w:fldCharType="separate"/>
    </w:r>
    <w:r w:rsidR="00D26E21" w:rsidRPr="00D26E21">
      <w:rPr>
        <w:noProof/>
        <w:sz w:val="20"/>
      </w:rPr>
      <w:t>4</w:t>
    </w:r>
    <w:r w:rsidR="00F81E92">
      <w:fldChar w:fldCharType="end"/>
    </w:r>
    <w:r w:rsidRPr="00911004">
      <w:rPr>
        <w:sz w:val="20"/>
        <w:highlight w:val="lightGray"/>
      </w:rPr>
      <w:t>PMRA Submission No.</w:t>
    </w:r>
    <w:r>
      <w:rPr>
        <w:sz w:val="20"/>
      </w:rPr>
      <w:t xml:space="preserve">     </w:t>
    </w:r>
    <w:r w:rsidRPr="00911004">
      <w:rPr>
        <w:sz w:val="20"/>
        <w:highlight w:val="lightGray"/>
      </w:rPr>
      <w:t>/DP Barcode  D######     /MRID No.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Pr="008D04CB" w:rsidRDefault="00B65FC4">
    <w:pPr>
      <w:framePr w:w="9360" w:h="232" w:hRule="exact" w:wrap="notBeside" w:vAnchor="page" w:hAnchor="text" w:y="1512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vanish/>
      </w:rPr>
    </w:pPr>
    <w:r w:rsidRPr="008D04CB">
      <w:rPr>
        <w:sz w:val="20"/>
      </w:rPr>
      <w:t xml:space="preserve">Page </w:t>
    </w:r>
    <w:r w:rsidRPr="008D04CB">
      <w:rPr>
        <w:sz w:val="20"/>
      </w:rPr>
      <w:pgNum/>
    </w:r>
    <w:r w:rsidR="002413FE">
      <w:rPr>
        <w:sz w:val="20"/>
      </w:rPr>
      <w:t xml:space="preserve"> </w:t>
    </w:r>
    <w:r w:rsidRPr="008D04CB">
      <w:rPr>
        <w:sz w:val="20"/>
      </w:rPr>
      <w:t xml:space="preserve">of </w:t>
    </w:r>
    <w:fldSimple w:instr=" NUMPAGES \* arabic \* MERGEFORMAT ">
      <w:r w:rsidR="00490BB3" w:rsidRPr="00490BB3">
        <w:rPr>
          <w:noProof/>
          <w:sz w:val="20"/>
        </w:rPr>
        <w:t>4</w:t>
      </w:r>
    </w:fldSimple>
  </w:p>
  <w:p w:rsidR="00B65FC4" w:rsidRDefault="006F75EA" w:rsidP="006F75EA">
    <w:pPr>
      <w:widowControl w:val="0"/>
      <w:pBdr>
        <w:top w:val="single" w:sz="4" w:space="1" w:color="auto"/>
      </w:pBd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Pr>
        <w:sz w:val="20"/>
      </w:rPr>
      <w:t xml:space="preserve">EPA MRID </w:t>
    </w:r>
    <w:r w:rsidR="005976FB">
      <w:rPr>
        <w:sz w:val="20"/>
      </w:rPr>
      <w:t>#</w:t>
    </w:r>
    <w:r w:rsidR="00B65FC4">
      <w:rPr>
        <w:sz w:val="20"/>
      </w:rPr>
      <w:t>:</w:t>
    </w:r>
  </w:p>
  <w:p w:rsidR="00B65FC4" w:rsidRDefault="00B65FC4" w:rsidP="006F75EA">
    <w:pPr>
      <w:widowControl w:val="0"/>
      <w:pBdr>
        <w:top w:val="single" w:sz="4" w:space="1" w:color="auto"/>
      </w:pBd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sz w:val="20"/>
      </w:rPr>
      <w:t>PMRA #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D8" w:rsidRDefault="00C059D8" w:rsidP="00605FFA">
      <w:r>
        <w:separator/>
      </w:r>
    </w:p>
  </w:footnote>
  <w:footnote w:type="continuationSeparator" w:id="0">
    <w:p w:rsidR="00C059D8" w:rsidRDefault="00C059D8" w:rsidP="0060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Default="002B7924"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noProof/>
        <w:lang w:eastAsia="en-US"/>
      </w:rPr>
      <w:drawing>
        <wp:inline distT="0" distB="0" distL="0" distR="0">
          <wp:extent cx="573405" cy="38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389255"/>
                  </a:xfrm>
                  <a:prstGeom prst="rect">
                    <a:avLst/>
                  </a:prstGeom>
                  <a:noFill/>
                  <a:ln>
                    <a:noFill/>
                  </a:ln>
                </pic:spPr>
              </pic:pic>
            </a:graphicData>
          </a:graphic>
        </wp:inline>
      </w:drawing>
    </w:r>
    <w:r w:rsidR="00B65FC4">
      <w:rPr>
        <w:sz w:val="20"/>
      </w:rPr>
      <w:tab/>
    </w:r>
    <w:r w:rsidR="00B65FC4">
      <w:rPr>
        <w:sz w:val="20"/>
        <w:highlight w:val="lightGray"/>
      </w:rPr>
      <w:t>Name of Active/Active Code/PC Code/Company/Company Code</w:t>
    </w:r>
    <w:r w:rsidR="00B65FC4">
      <w:rPr>
        <w:sz w:val="20"/>
      </w:rPr>
      <w:t>]</w:t>
    </w:r>
  </w:p>
  <w:p w:rsidR="00B65FC4" w:rsidRDefault="00B65FC4"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0"/>
        <w:lang w:val="en-CA"/>
      </w:rPr>
    </w:pPr>
    <w:r>
      <w:rPr>
        <w:sz w:val="20"/>
      </w:rPr>
      <w:tab/>
    </w:r>
    <w:r>
      <w:rPr>
        <w:sz w:val="20"/>
        <w:lang w:val="en-CA"/>
      </w:rPr>
      <w:t>DACO 7.4.1/7.4.2/OPPTS 860.1500/OECD IIA 6.3.1, 6.3.2, 6.3.3 and IIIA 8.3.1, 8.3.2, 8.3.3</w:t>
    </w:r>
    <w:r>
      <w:rPr>
        <w:sz w:val="20"/>
        <w:lang w:val="en-CA"/>
      </w:rPr>
      <w:tab/>
    </w:r>
  </w:p>
  <w:p w:rsidR="00B65FC4" w:rsidRDefault="00B65FC4"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Pr>
        <w:sz w:val="20"/>
        <w:lang w:val="en-CA"/>
      </w:rPr>
      <w:tab/>
      <w:t>Crop Field Trial/ Residue Decline - [</w:t>
    </w:r>
    <w:r>
      <w:rPr>
        <w:sz w:val="20"/>
        <w:highlight w:val="lightGray"/>
        <w:lang w:val="en-CA"/>
      </w:rPr>
      <w:t>crop</w:t>
    </w:r>
    <w:r>
      <w:rPr>
        <w:sz w:val="20"/>
        <w:lang w:val="en-CA"/>
      </w:rPr>
      <w:t>]</w:t>
    </w:r>
  </w:p>
  <w:p w:rsidR="00B65FC4" w:rsidRDefault="00B65FC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Pr="00B20D46" w:rsidRDefault="00B65FC4"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r w:rsidRPr="00B20D46">
      <w:rPr>
        <w:sz w:val="20"/>
        <w:highlight w:val="lightGray"/>
        <w:lang w:val="en-CA"/>
      </w:rPr>
      <w:t xml:space="preserve">Active </w:t>
    </w:r>
    <w:r>
      <w:rPr>
        <w:sz w:val="20"/>
        <w:highlight w:val="lightGray"/>
        <w:lang w:val="en-CA"/>
      </w:rPr>
      <w:t>I</w:t>
    </w:r>
    <w:r w:rsidRPr="00B20D46">
      <w:rPr>
        <w:sz w:val="20"/>
        <w:highlight w:val="lightGray"/>
        <w:lang w:val="en-CA"/>
      </w:rPr>
      <w:t>ngredient [code]/ Company [code]</w:t>
    </w:r>
  </w:p>
  <w:p w:rsidR="00B65FC4" w:rsidRPr="004C7C87" w:rsidRDefault="00B65FC4" w:rsidP="00075C94">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C5F354"/>
    <w:multiLevelType w:val="hybridMultilevel"/>
    <w:tmpl w:val="F37A5E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4D21322"/>
    <w:multiLevelType w:val="hybridMultilevel"/>
    <w:tmpl w:val="EDB8532E"/>
    <w:lvl w:ilvl="0" w:tplc="7E9A3B50">
      <w:start w:val="2"/>
      <w:numFmt w:val="bullet"/>
      <w:lvlText w:val=""/>
      <w:lvlJc w:val="left"/>
      <w:pPr>
        <w:ind w:left="720" w:hanging="360"/>
      </w:pPr>
      <w:rPr>
        <w:rFonts w:ascii="Symbol" w:eastAsia="Times New Roman" w:hAnsi="Symbol" w:cs="Times New Roman"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2"/>
  </w:compat>
  <w:rsids>
    <w:rsidRoot w:val="00812679"/>
    <w:rsid w:val="00007F34"/>
    <w:rsid w:val="0001173D"/>
    <w:rsid w:val="00012AEA"/>
    <w:rsid w:val="00012D52"/>
    <w:rsid w:val="000260F8"/>
    <w:rsid w:val="0004435A"/>
    <w:rsid w:val="000450BB"/>
    <w:rsid w:val="00050735"/>
    <w:rsid w:val="0005375E"/>
    <w:rsid w:val="000741C3"/>
    <w:rsid w:val="00075C94"/>
    <w:rsid w:val="000A24A5"/>
    <w:rsid w:val="000A40AC"/>
    <w:rsid w:val="000A660E"/>
    <w:rsid w:val="000B1338"/>
    <w:rsid w:val="000B6012"/>
    <w:rsid w:val="000C0BEE"/>
    <w:rsid w:val="000C2B75"/>
    <w:rsid w:val="000D2B9C"/>
    <w:rsid w:val="000E697F"/>
    <w:rsid w:val="000F2ECA"/>
    <w:rsid w:val="001003EA"/>
    <w:rsid w:val="00113595"/>
    <w:rsid w:val="00135848"/>
    <w:rsid w:val="00136F46"/>
    <w:rsid w:val="001569AA"/>
    <w:rsid w:val="0016664E"/>
    <w:rsid w:val="00172955"/>
    <w:rsid w:val="0017620F"/>
    <w:rsid w:val="00194D73"/>
    <w:rsid w:val="001B776D"/>
    <w:rsid w:val="001C6037"/>
    <w:rsid w:val="001D3452"/>
    <w:rsid w:val="001E1346"/>
    <w:rsid w:val="001E2371"/>
    <w:rsid w:val="001E4EC7"/>
    <w:rsid w:val="001F184B"/>
    <w:rsid w:val="001F5FF0"/>
    <w:rsid w:val="002112D4"/>
    <w:rsid w:val="00215EA9"/>
    <w:rsid w:val="00227979"/>
    <w:rsid w:val="002413FE"/>
    <w:rsid w:val="00251CEE"/>
    <w:rsid w:val="002625AD"/>
    <w:rsid w:val="00274A1F"/>
    <w:rsid w:val="00275E87"/>
    <w:rsid w:val="00275F0F"/>
    <w:rsid w:val="00285814"/>
    <w:rsid w:val="002B30F3"/>
    <w:rsid w:val="002B651F"/>
    <w:rsid w:val="002B7924"/>
    <w:rsid w:val="002C48C6"/>
    <w:rsid w:val="00317937"/>
    <w:rsid w:val="00321FAC"/>
    <w:rsid w:val="00335F43"/>
    <w:rsid w:val="00342463"/>
    <w:rsid w:val="003463E8"/>
    <w:rsid w:val="00361D30"/>
    <w:rsid w:val="003738FD"/>
    <w:rsid w:val="0037795C"/>
    <w:rsid w:val="003854AE"/>
    <w:rsid w:val="00386BB1"/>
    <w:rsid w:val="00390E26"/>
    <w:rsid w:val="003A767B"/>
    <w:rsid w:val="003B0558"/>
    <w:rsid w:val="003B187A"/>
    <w:rsid w:val="003B3466"/>
    <w:rsid w:val="003B6932"/>
    <w:rsid w:val="003C6444"/>
    <w:rsid w:val="003D412F"/>
    <w:rsid w:val="003D743B"/>
    <w:rsid w:val="003E1210"/>
    <w:rsid w:val="003E7A82"/>
    <w:rsid w:val="00416601"/>
    <w:rsid w:val="004243BE"/>
    <w:rsid w:val="004271A8"/>
    <w:rsid w:val="004313DF"/>
    <w:rsid w:val="0043348A"/>
    <w:rsid w:val="004413BF"/>
    <w:rsid w:val="004463F0"/>
    <w:rsid w:val="004603C6"/>
    <w:rsid w:val="00476963"/>
    <w:rsid w:val="00481976"/>
    <w:rsid w:val="00490BB3"/>
    <w:rsid w:val="0049132E"/>
    <w:rsid w:val="004C2A3D"/>
    <w:rsid w:val="004C7C87"/>
    <w:rsid w:val="00506F04"/>
    <w:rsid w:val="00522D4E"/>
    <w:rsid w:val="005240A4"/>
    <w:rsid w:val="0053329F"/>
    <w:rsid w:val="00570636"/>
    <w:rsid w:val="0057274A"/>
    <w:rsid w:val="0057578B"/>
    <w:rsid w:val="00594AF5"/>
    <w:rsid w:val="00594E7A"/>
    <w:rsid w:val="005976FB"/>
    <w:rsid w:val="005D14AC"/>
    <w:rsid w:val="005D4C5A"/>
    <w:rsid w:val="005E6E28"/>
    <w:rsid w:val="005E71C8"/>
    <w:rsid w:val="00605FFA"/>
    <w:rsid w:val="006113C2"/>
    <w:rsid w:val="0061340D"/>
    <w:rsid w:val="00673FFA"/>
    <w:rsid w:val="00683FAF"/>
    <w:rsid w:val="006978B4"/>
    <w:rsid w:val="006A179C"/>
    <w:rsid w:val="006B2DA8"/>
    <w:rsid w:val="006B33B6"/>
    <w:rsid w:val="006B641A"/>
    <w:rsid w:val="006C01CE"/>
    <w:rsid w:val="006C0E26"/>
    <w:rsid w:val="006C5595"/>
    <w:rsid w:val="006C7372"/>
    <w:rsid w:val="006C76D0"/>
    <w:rsid w:val="006D3C13"/>
    <w:rsid w:val="006D7C73"/>
    <w:rsid w:val="006F22CB"/>
    <w:rsid w:val="006F75EA"/>
    <w:rsid w:val="00703C22"/>
    <w:rsid w:val="007209B9"/>
    <w:rsid w:val="00721358"/>
    <w:rsid w:val="00736380"/>
    <w:rsid w:val="00741378"/>
    <w:rsid w:val="00750DBE"/>
    <w:rsid w:val="00761AE5"/>
    <w:rsid w:val="0077248C"/>
    <w:rsid w:val="00773132"/>
    <w:rsid w:val="0078191A"/>
    <w:rsid w:val="00781B20"/>
    <w:rsid w:val="00795458"/>
    <w:rsid w:val="007B070C"/>
    <w:rsid w:val="007B377B"/>
    <w:rsid w:val="007E73CE"/>
    <w:rsid w:val="007F0920"/>
    <w:rsid w:val="008005CF"/>
    <w:rsid w:val="00811116"/>
    <w:rsid w:val="00812679"/>
    <w:rsid w:val="0081356F"/>
    <w:rsid w:val="0082035E"/>
    <w:rsid w:val="00825831"/>
    <w:rsid w:val="00840FB4"/>
    <w:rsid w:val="008552A0"/>
    <w:rsid w:val="00855861"/>
    <w:rsid w:val="00874E79"/>
    <w:rsid w:val="00876891"/>
    <w:rsid w:val="00882166"/>
    <w:rsid w:val="00890E44"/>
    <w:rsid w:val="00893493"/>
    <w:rsid w:val="008A5A38"/>
    <w:rsid w:val="008C0C6E"/>
    <w:rsid w:val="008C399D"/>
    <w:rsid w:val="008D04CB"/>
    <w:rsid w:val="008D1EBA"/>
    <w:rsid w:val="008E3C87"/>
    <w:rsid w:val="008F292D"/>
    <w:rsid w:val="008F5A7A"/>
    <w:rsid w:val="00900431"/>
    <w:rsid w:val="00900629"/>
    <w:rsid w:val="0092385A"/>
    <w:rsid w:val="009253A2"/>
    <w:rsid w:val="009461D9"/>
    <w:rsid w:val="00947332"/>
    <w:rsid w:val="009501CA"/>
    <w:rsid w:val="00955397"/>
    <w:rsid w:val="00956A08"/>
    <w:rsid w:val="00971963"/>
    <w:rsid w:val="00986668"/>
    <w:rsid w:val="009908BD"/>
    <w:rsid w:val="00995ADA"/>
    <w:rsid w:val="009A20F4"/>
    <w:rsid w:val="009A2DBE"/>
    <w:rsid w:val="009B001C"/>
    <w:rsid w:val="009C021B"/>
    <w:rsid w:val="009C4E76"/>
    <w:rsid w:val="009D1813"/>
    <w:rsid w:val="009D5E7F"/>
    <w:rsid w:val="009E32E5"/>
    <w:rsid w:val="00A02268"/>
    <w:rsid w:val="00A037AF"/>
    <w:rsid w:val="00A073F6"/>
    <w:rsid w:val="00A14707"/>
    <w:rsid w:val="00A1694E"/>
    <w:rsid w:val="00A40181"/>
    <w:rsid w:val="00A427B1"/>
    <w:rsid w:val="00A653AD"/>
    <w:rsid w:val="00A70021"/>
    <w:rsid w:val="00A74EB8"/>
    <w:rsid w:val="00A75C35"/>
    <w:rsid w:val="00A95723"/>
    <w:rsid w:val="00AA4851"/>
    <w:rsid w:val="00AC0AA6"/>
    <w:rsid w:val="00AD07B2"/>
    <w:rsid w:val="00AD0A3F"/>
    <w:rsid w:val="00AE5081"/>
    <w:rsid w:val="00AF2AD1"/>
    <w:rsid w:val="00AF4CAE"/>
    <w:rsid w:val="00B00FED"/>
    <w:rsid w:val="00B15315"/>
    <w:rsid w:val="00B20D46"/>
    <w:rsid w:val="00B41BE0"/>
    <w:rsid w:val="00B42C2B"/>
    <w:rsid w:val="00B42DEE"/>
    <w:rsid w:val="00B46054"/>
    <w:rsid w:val="00B65FC4"/>
    <w:rsid w:val="00B67C07"/>
    <w:rsid w:val="00B71D73"/>
    <w:rsid w:val="00B82175"/>
    <w:rsid w:val="00B86500"/>
    <w:rsid w:val="00BA0F90"/>
    <w:rsid w:val="00BB2850"/>
    <w:rsid w:val="00BC1912"/>
    <w:rsid w:val="00BE7EF1"/>
    <w:rsid w:val="00C0572D"/>
    <w:rsid w:val="00C059D8"/>
    <w:rsid w:val="00C1172F"/>
    <w:rsid w:val="00C27B15"/>
    <w:rsid w:val="00C340FF"/>
    <w:rsid w:val="00C344F3"/>
    <w:rsid w:val="00C60A87"/>
    <w:rsid w:val="00C82971"/>
    <w:rsid w:val="00CB5BB9"/>
    <w:rsid w:val="00CD7982"/>
    <w:rsid w:val="00CE13DB"/>
    <w:rsid w:val="00CE48F4"/>
    <w:rsid w:val="00D00B7C"/>
    <w:rsid w:val="00D04FD6"/>
    <w:rsid w:val="00D11413"/>
    <w:rsid w:val="00D16CEF"/>
    <w:rsid w:val="00D206FE"/>
    <w:rsid w:val="00D26E21"/>
    <w:rsid w:val="00D3143A"/>
    <w:rsid w:val="00D50D0C"/>
    <w:rsid w:val="00D53A31"/>
    <w:rsid w:val="00D60B57"/>
    <w:rsid w:val="00D8334A"/>
    <w:rsid w:val="00DA012E"/>
    <w:rsid w:val="00DA05C1"/>
    <w:rsid w:val="00DA1230"/>
    <w:rsid w:val="00DA7544"/>
    <w:rsid w:val="00DB534C"/>
    <w:rsid w:val="00DC386D"/>
    <w:rsid w:val="00DD5DB5"/>
    <w:rsid w:val="00DE67B4"/>
    <w:rsid w:val="00DF37E5"/>
    <w:rsid w:val="00E02C3F"/>
    <w:rsid w:val="00E20C12"/>
    <w:rsid w:val="00E30286"/>
    <w:rsid w:val="00E35F75"/>
    <w:rsid w:val="00E40B0D"/>
    <w:rsid w:val="00E41D7D"/>
    <w:rsid w:val="00E45354"/>
    <w:rsid w:val="00E710AC"/>
    <w:rsid w:val="00E81408"/>
    <w:rsid w:val="00E97B80"/>
    <w:rsid w:val="00EB0580"/>
    <w:rsid w:val="00EB2E0A"/>
    <w:rsid w:val="00EC62E0"/>
    <w:rsid w:val="00EC6365"/>
    <w:rsid w:val="00ED4788"/>
    <w:rsid w:val="00ED7828"/>
    <w:rsid w:val="00EE1169"/>
    <w:rsid w:val="00EE35E3"/>
    <w:rsid w:val="00F030EF"/>
    <w:rsid w:val="00F15178"/>
    <w:rsid w:val="00F22D9F"/>
    <w:rsid w:val="00F23554"/>
    <w:rsid w:val="00F2591C"/>
    <w:rsid w:val="00F45286"/>
    <w:rsid w:val="00F56FB6"/>
    <w:rsid w:val="00F652AB"/>
    <w:rsid w:val="00F736CF"/>
    <w:rsid w:val="00F81E92"/>
    <w:rsid w:val="00F8718B"/>
    <w:rsid w:val="00F96943"/>
    <w:rsid w:val="00FC0927"/>
    <w:rsid w:val="00FC0C57"/>
    <w:rsid w:val="00FD41F3"/>
    <w:rsid w:val="00FE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79"/>
    <w:rPr>
      <w:sz w:val="24"/>
      <w:lang w:val="en-US"/>
    </w:rPr>
  </w:style>
  <w:style w:type="paragraph" w:styleId="Heading1">
    <w:name w:val="heading 1"/>
    <w:basedOn w:val="Normal"/>
    <w:next w:val="Normal"/>
    <w:link w:val="Heading1Char"/>
    <w:uiPriority w:val="9"/>
    <w:qFormat/>
    <w:rsid w:val="00AA48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7578B"/>
    <w:pPr>
      <w:widowControl w:val="0"/>
      <w:tabs>
        <w:tab w:val="left" w:pos="851"/>
      </w:tabs>
      <w:spacing w:after="120"/>
      <w:ind w:left="851" w:hanging="851"/>
      <w:outlineLvl w:val="1"/>
    </w:pPr>
    <w:rPr>
      <w:rFonts w:ascii="Arial" w:eastAsia="‚l‚r –¾’©" w:hAnsi="Arial"/>
      <w:b/>
      <w:snapToGrid w:val="0"/>
      <w:sz w:val="22"/>
      <w:lang w:eastAsia="ja-JP"/>
    </w:rPr>
  </w:style>
  <w:style w:type="paragraph" w:styleId="Heading3">
    <w:name w:val="heading 3"/>
    <w:basedOn w:val="Normal"/>
    <w:next w:val="Normal"/>
    <w:link w:val="Heading3Char"/>
    <w:uiPriority w:val="9"/>
    <w:qFormat/>
    <w:rsid w:val="0057578B"/>
    <w:pPr>
      <w:widowControl w:val="0"/>
      <w:tabs>
        <w:tab w:val="left" w:pos="851"/>
      </w:tabs>
      <w:spacing w:after="120"/>
      <w:outlineLvl w:val="2"/>
    </w:pPr>
    <w:rPr>
      <w:rFonts w:ascii="Arial" w:eastAsia="‚l‚r ƒSƒVƒbƒN" w:hAnsi="Arial"/>
      <w:b/>
      <w:snapToGrid w:val="0"/>
      <w:sz w:val="22"/>
      <w:lang w:val="en-GB" w:eastAsia="ja-JP"/>
    </w:rPr>
  </w:style>
  <w:style w:type="paragraph" w:styleId="Heading4">
    <w:name w:val="heading 4"/>
    <w:basedOn w:val="Normal"/>
    <w:next w:val="Normal"/>
    <w:link w:val="Heading4Char"/>
    <w:semiHidden/>
    <w:unhideWhenUsed/>
    <w:qFormat/>
    <w:rsid w:val="00575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57578B"/>
    <w:pPr>
      <w:widowControl w:val="0"/>
      <w:tabs>
        <w:tab w:val="num" w:pos="0"/>
      </w:tabs>
      <w:spacing w:before="120" w:after="120"/>
      <w:outlineLvl w:val="4"/>
    </w:pPr>
    <w:rPr>
      <w:rFonts w:ascii="Arial" w:eastAsia="‚l‚r –¾’©" w:hAnsi="Arial"/>
      <w:b/>
      <w:snapToGrid w:val="0"/>
      <w:sz w:val="20"/>
      <w:lang w:val="en-GB" w:eastAsia="ja-JP"/>
    </w:rPr>
  </w:style>
  <w:style w:type="paragraph" w:styleId="Heading6">
    <w:name w:val="heading 6"/>
    <w:basedOn w:val="Normal"/>
    <w:next w:val="Normal"/>
    <w:link w:val="Heading6Char"/>
    <w:rsid w:val="0057578B"/>
    <w:pPr>
      <w:widowControl w:val="0"/>
      <w:tabs>
        <w:tab w:val="num" w:pos="0"/>
      </w:tabs>
      <w:spacing w:before="120" w:after="120"/>
      <w:outlineLvl w:val="5"/>
    </w:pPr>
    <w:rPr>
      <w:rFonts w:ascii="Arial" w:eastAsia="‚l‚r –¾’©" w:hAnsi="Arial"/>
      <w:b/>
      <w:snapToGrid w:val="0"/>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851"/>
    <w:rPr>
      <w:rFonts w:asciiTheme="majorHAnsi" w:eastAsiaTheme="majorEastAsia" w:hAnsiTheme="majorHAnsi" w:cstheme="majorBidi"/>
      <w:b/>
      <w:bCs/>
      <w:color w:val="365F91" w:themeColor="accent1" w:themeShade="BF"/>
      <w:sz w:val="28"/>
      <w:szCs w:val="28"/>
      <w:lang w:val="en-US" w:eastAsia="fr-CA"/>
    </w:rPr>
  </w:style>
  <w:style w:type="paragraph" w:styleId="Header">
    <w:name w:val="header"/>
    <w:basedOn w:val="Normal"/>
    <w:link w:val="HeaderChar"/>
    <w:rsid w:val="00605FFA"/>
    <w:pPr>
      <w:tabs>
        <w:tab w:val="center" w:pos="4680"/>
        <w:tab w:val="right" w:pos="9360"/>
      </w:tabs>
    </w:pPr>
  </w:style>
  <w:style w:type="character" w:customStyle="1" w:styleId="HeaderChar">
    <w:name w:val="Header Char"/>
    <w:basedOn w:val="DefaultParagraphFont"/>
    <w:link w:val="Header"/>
    <w:rsid w:val="00605FFA"/>
    <w:rPr>
      <w:sz w:val="24"/>
      <w:lang w:val="en-US"/>
    </w:rPr>
  </w:style>
  <w:style w:type="paragraph" w:styleId="Footer">
    <w:name w:val="footer"/>
    <w:basedOn w:val="Normal"/>
    <w:link w:val="FooterChar"/>
    <w:rsid w:val="00605FFA"/>
    <w:pPr>
      <w:tabs>
        <w:tab w:val="center" w:pos="4680"/>
        <w:tab w:val="right" w:pos="9360"/>
      </w:tabs>
    </w:pPr>
  </w:style>
  <w:style w:type="character" w:customStyle="1" w:styleId="FooterChar">
    <w:name w:val="Footer Char"/>
    <w:basedOn w:val="DefaultParagraphFont"/>
    <w:link w:val="Footer"/>
    <w:rsid w:val="00605FFA"/>
    <w:rPr>
      <w:sz w:val="24"/>
      <w:lang w:val="en-US"/>
    </w:rPr>
  </w:style>
  <w:style w:type="paragraph" w:styleId="ListParagraph">
    <w:name w:val="List Paragraph"/>
    <w:basedOn w:val="Normal"/>
    <w:uiPriority w:val="34"/>
    <w:qFormat/>
    <w:rsid w:val="001E4EC7"/>
    <w:pPr>
      <w:ind w:left="720"/>
      <w:contextualSpacing/>
    </w:pPr>
  </w:style>
  <w:style w:type="paragraph" w:styleId="NoSpacing">
    <w:name w:val="No Spacing"/>
    <w:uiPriority w:val="1"/>
    <w:qFormat/>
    <w:rsid w:val="00B71D73"/>
    <w:rPr>
      <w:rFonts w:eastAsiaTheme="minorHAnsi" w:cstheme="minorBidi"/>
      <w:sz w:val="22"/>
      <w:szCs w:val="22"/>
      <w:lang w:eastAsia="en-US"/>
    </w:rPr>
  </w:style>
  <w:style w:type="table" w:styleId="TableGrid">
    <w:name w:val="Table Grid"/>
    <w:basedOn w:val="TableNormal"/>
    <w:uiPriority w:val="59"/>
    <w:rsid w:val="00B71D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CD-HeadLine1">
    <w:name w:val="OECD-HeadLine 1"/>
    <w:next w:val="Normal"/>
    <w:link w:val="OECD-HeadLine1Car"/>
    <w:uiPriority w:val="99"/>
    <w:rsid w:val="00F736CF"/>
    <w:pPr>
      <w:widowControl w:val="0"/>
      <w:tabs>
        <w:tab w:val="left" w:pos="1440"/>
      </w:tabs>
      <w:ind w:left="1440" w:hanging="1440"/>
    </w:pPr>
    <w:rPr>
      <w:b/>
      <w:noProof/>
      <w:sz w:val="22"/>
      <w:lang w:val="en-GB" w:eastAsia="en-US"/>
    </w:rPr>
  </w:style>
  <w:style w:type="character" w:customStyle="1" w:styleId="OECD-HeadLine1Car">
    <w:name w:val="OECD-HeadLine 1 Car"/>
    <w:basedOn w:val="DefaultParagraphFont"/>
    <w:link w:val="OECD-HeadLine1"/>
    <w:uiPriority w:val="99"/>
    <w:locked/>
    <w:rsid w:val="00F736CF"/>
    <w:rPr>
      <w:b/>
      <w:noProof/>
      <w:sz w:val="22"/>
      <w:lang w:val="en-GB" w:eastAsia="en-US"/>
    </w:rPr>
  </w:style>
  <w:style w:type="paragraph" w:customStyle="1" w:styleId="OECD-BASIS-TEXT">
    <w:name w:val="OECD-BASIS-TEXT"/>
    <w:link w:val="OECD-BASIS-TEXTChar1"/>
    <w:uiPriority w:val="99"/>
    <w:rsid w:val="00F736CF"/>
    <w:pPr>
      <w:tabs>
        <w:tab w:val="left" w:pos="720"/>
      </w:tabs>
    </w:pPr>
    <w:rPr>
      <w:sz w:val="22"/>
      <w:szCs w:val="24"/>
      <w:u w:color="FF0000"/>
      <w:lang w:val="en-GB" w:eastAsia="en-US"/>
    </w:rPr>
  </w:style>
  <w:style w:type="character" w:customStyle="1" w:styleId="OECD-BASIS-TEXTChar1">
    <w:name w:val="OECD-BASIS-TEXT Char1"/>
    <w:basedOn w:val="DefaultParagraphFont"/>
    <w:link w:val="OECD-BASIS-TEXT"/>
    <w:uiPriority w:val="99"/>
    <w:locked/>
    <w:rsid w:val="00F736CF"/>
    <w:rPr>
      <w:sz w:val="22"/>
      <w:szCs w:val="24"/>
      <w:u w:color="FF0000"/>
      <w:lang w:val="en-GB" w:eastAsia="en-US"/>
    </w:rPr>
  </w:style>
  <w:style w:type="character" w:customStyle="1" w:styleId="Heading2Char">
    <w:name w:val="Heading 2 Char"/>
    <w:basedOn w:val="DefaultParagraphFont"/>
    <w:link w:val="Heading2"/>
    <w:uiPriority w:val="9"/>
    <w:rsid w:val="0057578B"/>
    <w:rPr>
      <w:rFonts w:ascii="Arial" w:eastAsia="‚l‚r –¾’©" w:hAnsi="Arial"/>
      <w:b/>
      <w:snapToGrid w:val="0"/>
      <w:sz w:val="22"/>
      <w:lang w:val="en-US" w:eastAsia="ja-JP"/>
    </w:rPr>
  </w:style>
  <w:style w:type="character" w:customStyle="1" w:styleId="Heading3Char">
    <w:name w:val="Heading 3 Char"/>
    <w:basedOn w:val="DefaultParagraphFont"/>
    <w:link w:val="Heading3"/>
    <w:uiPriority w:val="9"/>
    <w:rsid w:val="0057578B"/>
    <w:rPr>
      <w:rFonts w:ascii="Arial" w:eastAsia="‚l‚r ƒSƒVƒbƒN" w:hAnsi="Arial"/>
      <w:b/>
      <w:snapToGrid w:val="0"/>
      <w:sz w:val="22"/>
      <w:lang w:val="en-GB" w:eastAsia="ja-JP"/>
    </w:rPr>
  </w:style>
  <w:style w:type="character" w:customStyle="1" w:styleId="Heading5Char">
    <w:name w:val="Heading 5 Char"/>
    <w:basedOn w:val="DefaultParagraphFont"/>
    <w:link w:val="Heading5"/>
    <w:rsid w:val="0057578B"/>
    <w:rPr>
      <w:rFonts w:ascii="Arial" w:eastAsia="‚l‚r –¾’©" w:hAnsi="Arial"/>
      <w:b/>
      <w:snapToGrid w:val="0"/>
      <w:lang w:val="en-GB" w:eastAsia="ja-JP"/>
    </w:rPr>
  </w:style>
  <w:style w:type="character" w:customStyle="1" w:styleId="Heading6Char">
    <w:name w:val="Heading 6 Char"/>
    <w:basedOn w:val="DefaultParagraphFont"/>
    <w:link w:val="Heading6"/>
    <w:rsid w:val="0057578B"/>
    <w:rPr>
      <w:rFonts w:ascii="Arial" w:eastAsia="‚l‚r –¾’©" w:hAnsi="Arial"/>
      <w:b/>
      <w:snapToGrid w:val="0"/>
      <w:lang w:val="en-GB" w:eastAsia="ja-JP"/>
    </w:rPr>
  </w:style>
  <w:style w:type="paragraph" w:customStyle="1" w:styleId="NormalDossier">
    <w:name w:val="Normal Dossier"/>
    <w:basedOn w:val="Normal"/>
    <w:rsid w:val="0057578B"/>
    <w:pPr>
      <w:spacing w:before="120" w:after="120"/>
    </w:pPr>
    <w:rPr>
      <w:rFonts w:ascii="Arial" w:eastAsia="MS Mincho" w:hAnsi="Arial"/>
      <w:sz w:val="20"/>
      <w:szCs w:val="24"/>
      <w:lang w:val="en-GB" w:eastAsia="ja-JP"/>
    </w:rPr>
  </w:style>
  <w:style w:type="paragraph" w:customStyle="1" w:styleId="StyleHeading4BoldNounderlineJustified">
    <w:name w:val="Style Heading 4 + Bold No underline Justified"/>
    <w:basedOn w:val="Heading4"/>
    <w:next w:val="ListParagraph"/>
    <w:rsid w:val="0057578B"/>
    <w:pPr>
      <w:keepLines w:val="0"/>
      <w:widowControl w:val="0"/>
      <w:tabs>
        <w:tab w:val="num" w:pos="1247"/>
      </w:tabs>
      <w:spacing w:before="0" w:after="120"/>
      <w:ind w:left="1247" w:hanging="1247"/>
      <w:jc w:val="both"/>
    </w:pPr>
    <w:rPr>
      <w:rFonts w:ascii="Arial" w:eastAsia="Times New Roman" w:hAnsi="Arial" w:cs="Times New Roman"/>
      <w:i w:val="0"/>
      <w:iCs w:val="0"/>
      <w:snapToGrid w:val="0"/>
      <w:color w:val="auto"/>
      <w:sz w:val="20"/>
      <w:lang w:val="en-GB" w:eastAsia="ja-JP"/>
    </w:rPr>
  </w:style>
  <w:style w:type="paragraph" w:customStyle="1" w:styleId="StyleHeading3Justified">
    <w:name w:val="Style Heading 3 + Justified"/>
    <w:basedOn w:val="Heading3"/>
    <w:next w:val="NormalDossier"/>
    <w:rsid w:val="0057578B"/>
    <w:pPr>
      <w:numPr>
        <w:ilvl w:val="2"/>
      </w:numPr>
      <w:jc w:val="both"/>
    </w:pPr>
    <w:rPr>
      <w:rFonts w:eastAsia="Times New Roman"/>
      <w:bCs/>
    </w:rPr>
  </w:style>
  <w:style w:type="character" w:customStyle="1" w:styleId="Heading4Char">
    <w:name w:val="Heading 4 Char"/>
    <w:basedOn w:val="DefaultParagraphFont"/>
    <w:link w:val="Heading4"/>
    <w:semiHidden/>
    <w:rsid w:val="0057578B"/>
    <w:rPr>
      <w:rFonts w:asciiTheme="majorHAnsi" w:eastAsiaTheme="majorEastAsia" w:hAnsiTheme="majorHAnsi" w:cstheme="majorBidi"/>
      <w:b/>
      <w:bCs/>
      <w:i/>
      <w:iCs/>
      <w:color w:val="4F81BD" w:themeColor="accent1"/>
      <w:sz w:val="24"/>
      <w:lang w:val="en-US"/>
    </w:rPr>
  </w:style>
  <w:style w:type="character" w:styleId="CommentReference">
    <w:name w:val="annotation reference"/>
    <w:basedOn w:val="DefaultParagraphFont"/>
    <w:rsid w:val="0057578B"/>
    <w:rPr>
      <w:sz w:val="16"/>
      <w:szCs w:val="16"/>
    </w:rPr>
  </w:style>
  <w:style w:type="paragraph" w:styleId="CommentText">
    <w:name w:val="annotation text"/>
    <w:basedOn w:val="Normal"/>
    <w:link w:val="CommentTextChar"/>
    <w:rsid w:val="0057578B"/>
    <w:rPr>
      <w:sz w:val="20"/>
    </w:rPr>
  </w:style>
  <w:style w:type="character" w:customStyle="1" w:styleId="CommentTextChar">
    <w:name w:val="Comment Text Char"/>
    <w:basedOn w:val="DefaultParagraphFont"/>
    <w:link w:val="CommentText"/>
    <w:rsid w:val="0057578B"/>
    <w:rPr>
      <w:lang w:val="en-US"/>
    </w:rPr>
  </w:style>
  <w:style w:type="paragraph" w:styleId="CommentSubject">
    <w:name w:val="annotation subject"/>
    <w:basedOn w:val="CommentText"/>
    <w:next w:val="CommentText"/>
    <w:link w:val="CommentSubjectChar"/>
    <w:rsid w:val="0057578B"/>
    <w:rPr>
      <w:b/>
      <w:bCs/>
    </w:rPr>
  </w:style>
  <w:style w:type="character" w:customStyle="1" w:styleId="CommentSubjectChar">
    <w:name w:val="Comment Subject Char"/>
    <w:basedOn w:val="CommentTextChar"/>
    <w:link w:val="CommentSubject"/>
    <w:rsid w:val="0057578B"/>
    <w:rPr>
      <w:b/>
      <w:bCs/>
      <w:lang w:val="en-US"/>
    </w:rPr>
  </w:style>
  <w:style w:type="paragraph" w:styleId="BalloonText">
    <w:name w:val="Balloon Text"/>
    <w:basedOn w:val="Normal"/>
    <w:link w:val="BalloonTextChar"/>
    <w:rsid w:val="0057578B"/>
    <w:rPr>
      <w:rFonts w:ascii="Tahoma" w:hAnsi="Tahoma" w:cs="Tahoma"/>
      <w:sz w:val="16"/>
      <w:szCs w:val="16"/>
    </w:rPr>
  </w:style>
  <w:style w:type="character" w:customStyle="1" w:styleId="BalloonTextChar">
    <w:name w:val="Balloon Text Char"/>
    <w:basedOn w:val="DefaultParagraphFont"/>
    <w:link w:val="BalloonText"/>
    <w:rsid w:val="0057578B"/>
    <w:rPr>
      <w:rFonts w:ascii="Tahoma" w:hAnsi="Tahoma" w:cs="Tahoma"/>
      <w:sz w:val="16"/>
      <w:szCs w:val="16"/>
      <w:lang w:val="en-US"/>
    </w:rPr>
  </w:style>
  <w:style w:type="paragraph" w:customStyle="1" w:styleId="Default">
    <w:name w:val="Default"/>
    <w:rsid w:val="00ED7828"/>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09E0A-B8B7-4448-AB3F-3CD00283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2013-09-18T19:56:00Z</dcterms:created>
  <dcterms:modified xsi:type="dcterms:W3CDTF">2016-02-04T14:38:00Z</dcterms:modified>
</cp:coreProperties>
</file>